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16B7A" w14:textId="2CE874DF" w:rsidR="003D6A51" w:rsidRDefault="003D6A51" w:rsidP="003D6A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#154-AH-e</w:t>
      </w:r>
      <w:bookmarkEnd w:id="0"/>
      <w:r>
        <w:rPr>
          <w:b/>
          <w:i/>
          <w:noProof/>
          <w:sz w:val="28"/>
        </w:rPr>
        <w:tab/>
      </w:r>
      <w:r w:rsidR="00C11830" w:rsidRPr="00C11830">
        <w:rPr>
          <w:b/>
          <w:noProof/>
          <w:sz w:val="28"/>
        </w:rPr>
        <w:t>S2-2300582</w:t>
      </w:r>
    </w:p>
    <w:p w14:paraId="3B951910" w14:textId="6CD8543E" w:rsidR="00A24F28" w:rsidRPr="00927C1B" w:rsidRDefault="003D6A51" w:rsidP="003D6A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6A51">
        <w:rPr>
          <w:rFonts w:ascii="Arial" w:hAnsi="Arial" w:cs="Arial"/>
          <w:b/>
          <w:bCs/>
          <w:sz w:val="24"/>
        </w:rPr>
        <w:t>January 16</w:t>
      </w:r>
      <w:r w:rsidRPr="003D6A51">
        <w:rPr>
          <w:rFonts w:ascii="Arial" w:hAnsi="Arial" w:cs="Arial"/>
          <w:b/>
          <w:bCs/>
          <w:sz w:val="24"/>
          <w:vertAlign w:val="superscript"/>
        </w:rPr>
        <w:t>th</w:t>
      </w:r>
      <w:r w:rsidRPr="003D6A51">
        <w:rPr>
          <w:rFonts w:ascii="Arial" w:hAnsi="Arial" w:cs="Arial"/>
          <w:b/>
          <w:bCs/>
          <w:sz w:val="24"/>
        </w:rPr>
        <w:t xml:space="preserve"> – </w:t>
      </w:r>
      <w:r w:rsidR="00D144DF" w:rsidRPr="003D6A51">
        <w:rPr>
          <w:rFonts w:ascii="Arial" w:hAnsi="Arial" w:cs="Arial"/>
          <w:b/>
          <w:bCs/>
          <w:sz w:val="24"/>
        </w:rPr>
        <w:t>20</w:t>
      </w:r>
      <w:r w:rsidR="00D144DF">
        <w:rPr>
          <w:rFonts w:ascii="Arial" w:hAnsi="Arial" w:cs="Arial"/>
          <w:b/>
          <w:bCs/>
          <w:sz w:val="24"/>
          <w:vertAlign w:val="superscript"/>
        </w:rPr>
        <w:t>th</w:t>
      </w:r>
      <w:r w:rsidRPr="003D6A51">
        <w:rPr>
          <w:rFonts w:ascii="Arial" w:hAnsi="Arial" w:cs="Arial"/>
          <w:b/>
          <w:bCs/>
          <w:sz w:val="24"/>
        </w:rPr>
        <w:t xml:space="preserve">, </w:t>
      </w:r>
      <w:r w:rsidR="00D144DF" w:rsidRPr="003D6A51">
        <w:rPr>
          <w:rFonts w:ascii="Arial" w:hAnsi="Arial" w:cs="Arial"/>
          <w:b/>
          <w:bCs/>
          <w:sz w:val="24"/>
        </w:rPr>
        <w:t>202</w:t>
      </w:r>
      <w:r w:rsidR="00D144DF">
        <w:rPr>
          <w:rFonts w:ascii="Arial" w:hAnsi="Arial" w:cs="Arial"/>
          <w:b/>
          <w:bCs/>
          <w:sz w:val="24"/>
        </w:rPr>
        <w:t>3</w:t>
      </w:r>
      <w:r w:rsidRPr="003D6A51">
        <w:rPr>
          <w:rFonts w:ascii="Arial" w:hAnsi="Arial" w:cs="Arial"/>
          <w:b/>
          <w:noProof/>
          <w:sz w:val="24"/>
        </w:rPr>
        <w:t>; Elbonia</w:t>
      </w:r>
      <w:r w:rsidR="0021576A" w:rsidRPr="00927C1B">
        <w:rPr>
          <w:rFonts w:ascii="Arial" w:eastAsia="Arial Unicode MS" w:hAnsi="Arial" w:cs="Arial"/>
          <w:b/>
          <w:bCs/>
        </w:rPr>
        <w:tab/>
      </w:r>
    </w:p>
    <w:p w14:paraId="61EF4A4F" w14:textId="77777777" w:rsidR="00A24F28" w:rsidRPr="00880B08" w:rsidRDefault="00A24F28" w:rsidP="00A24F28">
      <w:pPr>
        <w:rPr>
          <w:rFonts w:ascii="Arial" w:hAnsi="Arial" w:cs="Arial"/>
        </w:rPr>
      </w:pPr>
    </w:p>
    <w:p w14:paraId="3402AE30" w14:textId="77777777" w:rsidR="00A24F28" w:rsidRPr="00D0528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D05287">
        <w:rPr>
          <w:rFonts w:ascii="Arial" w:hAnsi="Arial" w:cs="Arial"/>
          <w:b/>
        </w:rPr>
        <w:t xml:space="preserve">Huawei, </w:t>
      </w:r>
      <w:r w:rsidR="008F7D6D" w:rsidRPr="00D05287">
        <w:rPr>
          <w:rFonts w:ascii="Arial" w:hAnsi="Arial" w:cs="Arial"/>
          <w:b/>
        </w:rPr>
        <w:t>HiSilicon</w:t>
      </w:r>
    </w:p>
    <w:p w14:paraId="65E13A15" w14:textId="77777777" w:rsidR="0022711B" w:rsidRPr="00D05287" w:rsidRDefault="00A24F28" w:rsidP="00A24F28">
      <w:pPr>
        <w:ind w:left="2127" w:hanging="2127"/>
        <w:rPr>
          <w:rFonts w:ascii="Arial" w:hAnsi="Arial" w:cs="Arial"/>
          <w:b/>
        </w:rPr>
      </w:pPr>
      <w:r w:rsidRPr="00D05287">
        <w:rPr>
          <w:rFonts w:ascii="Arial" w:hAnsi="Arial" w:cs="Arial"/>
          <w:b/>
        </w:rPr>
        <w:t>Title:</w:t>
      </w:r>
      <w:r w:rsidRPr="00D05287">
        <w:rPr>
          <w:rFonts w:ascii="Arial" w:hAnsi="Arial" w:cs="Arial"/>
          <w:b/>
        </w:rPr>
        <w:tab/>
      </w:r>
      <w:r w:rsidR="00F33073" w:rsidRPr="00D05287">
        <w:rPr>
          <w:rFonts w:ascii="Arial" w:hAnsi="Arial" w:cs="Arial"/>
          <w:b/>
        </w:rPr>
        <w:t>Discussion on how to handle MBSR in case MBSR authorization fails</w:t>
      </w:r>
    </w:p>
    <w:p w14:paraId="0C7E1EE2" w14:textId="77777777" w:rsidR="00A24F28" w:rsidRPr="00C61B3A" w:rsidRDefault="002A3C41" w:rsidP="00A24F28">
      <w:pPr>
        <w:ind w:left="2127" w:hanging="2127"/>
        <w:rPr>
          <w:rFonts w:ascii="Arial" w:hAnsi="Arial" w:cs="Arial"/>
          <w:b/>
        </w:rPr>
      </w:pPr>
      <w:r w:rsidRPr="00D05287">
        <w:rPr>
          <w:rFonts w:ascii="Arial" w:hAnsi="Arial" w:cs="Arial"/>
          <w:b/>
        </w:rPr>
        <w:t>Document for:</w:t>
      </w:r>
      <w:r w:rsidRPr="00D05287">
        <w:rPr>
          <w:rFonts w:ascii="Arial" w:hAnsi="Arial" w:cs="Arial"/>
          <w:b/>
        </w:rPr>
        <w:tab/>
      </w:r>
      <w:r w:rsidR="00B4739E" w:rsidRPr="00D05287">
        <w:rPr>
          <w:rFonts w:ascii="Arial" w:hAnsi="Arial" w:cs="Arial"/>
          <w:b/>
        </w:rPr>
        <w:t>Discussio</w:t>
      </w:r>
      <w:bookmarkStart w:id="1" w:name="_GoBack"/>
      <w:bookmarkEnd w:id="1"/>
      <w:r w:rsidR="00B4739E" w:rsidRPr="00D05287">
        <w:rPr>
          <w:rFonts w:ascii="Arial" w:hAnsi="Arial" w:cs="Arial"/>
          <w:b/>
        </w:rPr>
        <w:t>n</w:t>
      </w:r>
    </w:p>
    <w:p w14:paraId="5D73831D"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77AA5">
        <w:rPr>
          <w:rFonts w:ascii="Arial" w:hAnsi="Arial" w:cs="Arial"/>
          <w:b/>
        </w:rPr>
        <w:t>9.</w:t>
      </w:r>
      <w:r w:rsidR="00D144DF">
        <w:rPr>
          <w:rFonts w:ascii="Arial" w:hAnsi="Arial" w:cs="Arial"/>
          <w:b/>
        </w:rPr>
        <w:t>1</w:t>
      </w:r>
      <w:r w:rsidR="00577AA5">
        <w:rPr>
          <w:rFonts w:ascii="Arial" w:hAnsi="Arial" w:cs="Arial"/>
          <w:b/>
        </w:rPr>
        <w:t>9.2</w:t>
      </w:r>
    </w:p>
    <w:p w14:paraId="3379E6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E2831">
        <w:rPr>
          <w:rFonts w:ascii="Arial" w:hAnsi="Arial" w:cs="Arial"/>
          <w:b/>
        </w:rPr>
        <w:t>VMR</w:t>
      </w:r>
      <w:r w:rsidR="00E2205A" w:rsidRPr="00D035A6">
        <w:rPr>
          <w:rFonts w:ascii="Arial" w:hAnsi="Arial" w:cs="Arial"/>
          <w:b/>
        </w:rPr>
        <w:t>/ Rel-</w:t>
      </w:r>
      <w:r w:rsidR="00AE2831">
        <w:rPr>
          <w:rFonts w:ascii="Arial" w:hAnsi="Arial" w:cs="Arial"/>
          <w:b/>
        </w:rPr>
        <w:t>18</w:t>
      </w:r>
    </w:p>
    <w:p w14:paraId="668D673D" w14:textId="77777777" w:rsidR="00294B58" w:rsidRPr="00A56322" w:rsidRDefault="00A24F28" w:rsidP="00A56322">
      <w:pPr>
        <w:jc w:val="both"/>
        <w:rPr>
          <w:rFonts w:ascii="Arial" w:eastAsia="MS Mincho" w:hAnsi="Arial" w:cs="Arial"/>
          <w:i/>
        </w:rPr>
      </w:pPr>
      <w:r w:rsidRPr="00927C1B">
        <w:rPr>
          <w:rFonts w:ascii="Arial" w:hAnsi="Arial" w:cs="Arial"/>
          <w:i/>
        </w:rPr>
        <w:t xml:space="preserve">Abstract: </w:t>
      </w:r>
      <w:r w:rsidR="00A56322" w:rsidRPr="00A56322">
        <w:rPr>
          <w:rFonts w:ascii="Arial" w:hAnsi="Arial" w:cs="Arial"/>
          <w:i/>
        </w:rPr>
        <w:t>How to handle MBSR in case MBSR authorization fails</w:t>
      </w:r>
      <w:r w:rsidR="00A56322">
        <w:rPr>
          <w:rFonts w:ascii="Arial" w:hAnsi="Arial" w:cs="Arial"/>
          <w:i/>
        </w:rPr>
        <w:t xml:space="preserve"> is discussed. </w:t>
      </w:r>
    </w:p>
    <w:p w14:paraId="59BE70B7" w14:textId="77777777" w:rsidR="00CA7316" w:rsidRPr="00CA7316" w:rsidRDefault="00A56322" w:rsidP="00CA7316">
      <w:pPr>
        <w:pStyle w:val="1"/>
        <w:rPr>
          <w:lang w:eastAsia="zh-CN"/>
        </w:rPr>
      </w:pPr>
      <w:r>
        <w:rPr>
          <w:lang w:eastAsia="zh-CN"/>
        </w:rPr>
        <w:t>1</w:t>
      </w:r>
      <w:r w:rsidR="00F261CF">
        <w:rPr>
          <w:lang w:eastAsia="zh-CN"/>
        </w:rPr>
        <w:t>. Discussion</w:t>
      </w:r>
    </w:p>
    <w:p w14:paraId="79F70959" w14:textId="4A2E4E25" w:rsidR="00C91917" w:rsidRDefault="00EA2643" w:rsidP="00A56322">
      <w:pPr>
        <w:jc w:val="both"/>
      </w:pPr>
      <w:r>
        <w:t xml:space="preserve">In the previous SA2 meetings, there are different views </w:t>
      </w:r>
      <w:r w:rsidR="00A56322">
        <w:t xml:space="preserve">about how to notify the MBSR when the </w:t>
      </w:r>
      <w:r w:rsidR="00B5192B" w:rsidRPr="00DE0BEC">
        <w:rPr>
          <w:lang w:val="en-US"/>
        </w:rPr>
        <w:t>MBSR</w:t>
      </w:r>
      <w:r w:rsidR="00A56322">
        <w:t xml:space="preserve"> is not authorized</w:t>
      </w:r>
      <w:r w:rsidR="00B5192B">
        <w:t xml:space="preserve"> </w:t>
      </w:r>
      <w:r w:rsidR="00B5192B" w:rsidRPr="00DE0BEC">
        <w:rPr>
          <w:lang w:val="en-US"/>
        </w:rPr>
        <w:t>to act as an IAB node</w:t>
      </w:r>
      <w:r w:rsidR="00A551DD">
        <w:t>, and</w:t>
      </w:r>
      <w:r w:rsidR="00A551DD" w:rsidRPr="002C5246">
        <w:t xml:space="preserve"> </w:t>
      </w:r>
      <w:r w:rsidR="00A551DD">
        <w:t>t</w:t>
      </w:r>
      <w:r w:rsidR="00D144DF">
        <w:t>here is a view that the</w:t>
      </w:r>
      <w:r w:rsidR="00C91917">
        <w:t xml:space="preserve"> MBSR can still </w:t>
      </w:r>
      <w:r w:rsidR="00707D72">
        <w:t xml:space="preserve">be registered </w:t>
      </w:r>
      <w:r w:rsidR="00A551DD">
        <w:t xml:space="preserve">to </w:t>
      </w:r>
      <w:r w:rsidR="00C91917">
        <w:t xml:space="preserve">the network as </w:t>
      </w:r>
      <w:r w:rsidR="005150BE">
        <w:t xml:space="preserve">a </w:t>
      </w:r>
      <w:r w:rsidR="00C91917">
        <w:t xml:space="preserve">normal UE. </w:t>
      </w:r>
    </w:p>
    <w:p w14:paraId="152E989D" w14:textId="113902C6" w:rsidR="00CA7316" w:rsidRPr="002F2031" w:rsidRDefault="002F2031" w:rsidP="00A56322">
      <w:pPr>
        <w:jc w:val="both"/>
        <w:rPr>
          <w:rFonts w:eastAsia="MS Mincho"/>
        </w:rPr>
      </w:pPr>
      <w:r>
        <w:t xml:space="preserve">In order to address the following </w:t>
      </w:r>
      <w:r w:rsidRPr="00DE0BEC">
        <w:t>Editor’s note</w:t>
      </w:r>
      <w:r>
        <w:t>, th</w:t>
      </w:r>
      <w:r w:rsidR="00081F07">
        <w:t>is</w:t>
      </w:r>
      <w:r>
        <w:t xml:space="preserve"> contribution elaborates </w:t>
      </w:r>
      <w:r w:rsidR="00081F07">
        <w:t xml:space="preserve">that </w:t>
      </w:r>
      <w:r w:rsidR="00423F1D">
        <w:t xml:space="preserve">the MBSR is </w:t>
      </w:r>
      <w:r w:rsidR="00707D72">
        <w:t xml:space="preserve">not </w:t>
      </w:r>
      <w:r w:rsidR="00FD0E25">
        <w:t xml:space="preserve">a </w:t>
      </w:r>
      <w:r w:rsidR="00707D72">
        <w:t>normal UE and</w:t>
      </w:r>
      <w:r w:rsidR="002B130F">
        <w:t xml:space="preserve"> demonstrates that</w:t>
      </w:r>
      <w:r w:rsidR="00707D72">
        <w:t xml:space="preserve"> it is </w:t>
      </w:r>
      <w:r w:rsidR="00C04C29">
        <w:t xml:space="preserve">more appropriate to let the UE </w:t>
      </w:r>
      <w:r w:rsidR="00423F1D">
        <w:t xml:space="preserve">to disconnect from the network </w:t>
      </w:r>
      <w:r>
        <w:t xml:space="preserve">in case </w:t>
      </w:r>
      <w:r w:rsidRPr="008575CB">
        <w:t xml:space="preserve">MBSR authorization fails. </w:t>
      </w:r>
    </w:p>
    <w:tbl>
      <w:tblPr>
        <w:tblStyle w:val="aa"/>
        <w:tblW w:w="0" w:type="auto"/>
        <w:tblLook w:val="04A0" w:firstRow="1" w:lastRow="0" w:firstColumn="1" w:lastColumn="0" w:noHBand="0" w:noVBand="1"/>
      </w:tblPr>
      <w:tblGrid>
        <w:gridCol w:w="9628"/>
      </w:tblGrid>
      <w:tr w:rsidR="00CA7316" w14:paraId="46E4155E" w14:textId="77777777" w:rsidTr="00CA7316">
        <w:tc>
          <w:tcPr>
            <w:tcW w:w="9628" w:type="dxa"/>
          </w:tcPr>
          <w:p w14:paraId="37A18D7C" w14:textId="77777777" w:rsidR="00CA7316" w:rsidRPr="00DE0BEC" w:rsidRDefault="00CA7316" w:rsidP="00CA7316">
            <w:pPr>
              <w:rPr>
                <w:lang w:val="en-US"/>
              </w:rPr>
            </w:pPr>
            <w:r w:rsidRPr="00DE0BEC">
              <w:rPr>
                <w:lang w:val="en-US"/>
              </w:rPr>
              <w:t xml:space="preserve">The AMF of the MBSR can indicate to the MBSR that it is not allowed to act as an IAB node as part of registration procedure, and in this case does not include MBSR authorization indication to donor-gNB. </w:t>
            </w:r>
          </w:p>
          <w:p w14:paraId="4BBDAEB4" w14:textId="77777777" w:rsidR="00CA7316" w:rsidRDefault="00CA7316" w:rsidP="00CA7316">
            <w:pPr>
              <w:pStyle w:val="EditorsNote"/>
            </w:pPr>
            <w:r w:rsidRPr="00DE0BEC">
              <w:t>Editor’s note:</w:t>
            </w:r>
            <w:r w:rsidR="00281FE1">
              <w:t xml:space="preserve"> </w:t>
            </w:r>
            <w:r w:rsidRPr="00DE0BEC">
              <w:t>Which NAS message(s) (registration accept, registration reject or/and deregistration request) is used by the AMF of the MBSR for indicating the MBSR is not allowed to act as MBSR is FFS.</w:t>
            </w:r>
          </w:p>
        </w:tc>
      </w:tr>
    </w:tbl>
    <w:p w14:paraId="0E592B7D" w14:textId="733F4DD6" w:rsidR="00ED243D" w:rsidRDefault="00ED243D" w:rsidP="00EE26ED">
      <w:pPr>
        <w:pStyle w:val="3"/>
      </w:pPr>
      <w:r>
        <w:t>1.1 Legacy IAB node</w:t>
      </w:r>
      <w:r w:rsidR="00571E71">
        <w:t xml:space="preserve"> handling</w:t>
      </w:r>
    </w:p>
    <w:p w14:paraId="2C445D7D" w14:textId="5911A6C1" w:rsidR="00210FC9" w:rsidRDefault="00A56322" w:rsidP="00A56322">
      <w:pPr>
        <w:jc w:val="both"/>
      </w:pPr>
      <w:r>
        <w:rPr>
          <w:lang w:eastAsia="zh-CN"/>
        </w:rPr>
        <w:t>According to TS 23.501,</w:t>
      </w:r>
      <w:r>
        <w:t xml:space="preserve"> for the IAB-UE operation, the existing UE authentication methods as defined in TS 33.501 applies</w:t>
      </w:r>
      <w:r w:rsidR="00210FC9">
        <w:t xml:space="preserve">: </w:t>
      </w:r>
    </w:p>
    <w:tbl>
      <w:tblPr>
        <w:tblStyle w:val="aa"/>
        <w:tblW w:w="0" w:type="auto"/>
        <w:tblLook w:val="04A0" w:firstRow="1" w:lastRow="0" w:firstColumn="1" w:lastColumn="0" w:noHBand="0" w:noVBand="1"/>
      </w:tblPr>
      <w:tblGrid>
        <w:gridCol w:w="9628"/>
      </w:tblGrid>
      <w:tr w:rsidR="00210FC9" w14:paraId="12607808" w14:textId="77777777" w:rsidTr="00210FC9">
        <w:tc>
          <w:tcPr>
            <w:tcW w:w="9628" w:type="dxa"/>
          </w:tcPr>
          <w:p w14:paraId="2F5E460E" w14:textId="77777777" w:rsidR="006C450D" w:rsidRPr="00324659" w:rsidRDefault="006C450D" w:rsidP="006C450D">
            <w:pPr>
              <w:pStyle w:val="3"/>
              <w:rPr>
                <w:sz w:val="24"/>
              </w:rPr>
            </w:pPr>
            <w:bookmarkStart w:id="2" w:name="_Toc122440728"/>
            <w:bookmarkStart w:id="3" w:name="_Toc51769565"/>
            <w:bookmarkStart w:id="4" w:name="_Toc47342863"/>
            <w:bookmarkStart w:id="5" w:name="_Toc45184021"/>
            <w:bookmarkStart w:id="6" w:name="_Toc36188114"/>
            <w:bookmarkStart w:id="7" w:name="_Toc27846983"/>
            <w:bookmarkStart w:id="8" w:name="_Toc20150177"/>
            <w:r w:rsidRPr="00324659">
              <w:rPr>
                <w:sz w:val="24"/>
              </w:rPr>
              <w:t>TS 23.501</w:t>
            </w:r>
          </w:p>
          <w:p w14:paraId="524BF45A" w14:textId="4EB246C6" w:rsidR="006C450D" w:rsidRPr="00324659" w:rsidRDefault="006C450D" w:rsidP="006C450D">
            <w:pPr>
              <w:pStyle w:val="3"/>
              <w:rPr>
                <w:sz w:val="24"/>
              </w:rPr>
            </w:pPr>
            <w:r w:rsidRPr="00324659">
              <w:rPr>
                <w:sz w:val="24"/>
              </w:rPr>
              <w:t>5.35.2</w:t>
            </w:r>
            <w:r w:rsidRPr="00324659">
              <w:rPr>
                <w:sz w:val="24"/>
              </w:rPr>
              <w:tab/>
              <w:t>5G System enhancements to support IAB</w:t>
            </w:r>
            <w:bookmarkEnd w:id="2"/>
            <w:bookmarkEnd w:id="3"/>
            <w:bookmarkEnd w:id="4"/>
            <w:bookmarkEnd w:id="5"/>
            <w:bookmarkEnd w:id="6"/>
            <w:bookmarkEnd w:id="7"/>
            <w:bookmarkEnd w:id="8"/>
          </w:p>
          <w:p w14:paraId="55C3429A" w14:textId="1CF78082" w:rsidR="00067928" w:rsidRDefault="00067928" w:rsidP="006C450D">
            <w:r>
              <w:t>…</w:t>
            </w:r>
          </w:p>
          <w:p w14:paraId="3EDEDEA5" w14:textId="77777777" w:rsidR="00210FC9" w:rsidRDefault="00210FC9" w:rsidP="00210FC9">
            <w:r>
              <w:t>For the IAB-UE operation, the existing UE authentication methods as defined in TS 33.501 [29] applies. Both USIM based methods and EAP based methods are allowed, and NAI based SUPIs can be used.</w:t>
            </w:r>
          </w:p>
          <w:p w14:paraId="07102B79" w14:textId="77777777" w:rsidR="00067928" w:rsidRPr="00210FC9" w:rsidRDefault="00067928" w:rsidP="00210FC9">
            <w:pPr>
              <w:rPr>
                <w:color w:val="auto"/>
                <w:lang w:eastAsia="en-US"/>
              </w:rPr>
            </w:pPr>
            <w:r>
              <w:rPr>
                <w:color w:val="auto"/>
                <w:lang w:eastAsia="en-US"/>
              </w:rPr>
              <w:t>…</w:t>
            </w:r>
          </w:p>
        </w:tc>
      </w:tr>
    </w:tbl>
    <w:p w14:paraId="19E991CB" w14:textId="77777777" w:rsidR="00A56322" w:rsidRDefault="00A56322" w:rsidP="00A56322">
      <w:pPr>
        <w:jc w:val="both"/>
      </w:pPr>
      <w:r>
        <w:rPr>
          <w:noProof/>
        </w:rPr>
        <w:t xml:space="preserve">Therefore, the handling of </w:t>
      </w:r>
      <w:r>
        <w:t>authentication</w:t>
      </w:r>
      <w:r>
        <w:rPr>
          <w:noProof/>
        </w:rPr>
        <w:t xml:space="preserve"> </w:t>
      </w:r>
      <w:r w:rsidRPr="00FC3229">
        <w:rPr>
          <w:noProof/>
        </w:rPr>
        <w:t>failure</w:t>
      </w:r>
      <w:r>
        <w:rPr>
          <w:noProof/>
        </w:rPr>
        <w:t xml:space="preserve"> for IAB-UE should follow the same logic as the </w:t>
      </w:r>
      <w:r>
        <w:t>existing UE</w:t>
      </w:r>
      <w:r>
        <w:rPr>
          <w:noProof/>
        </w:rPr>
        <w:t xml:space="preserve">, i.e., </w:t>
      </w:r>
      <w:r>
        <w:t xml:space="preserve">the AMF shall reject IAB-UE’s registration if the IAB operation is not authorized. </w:t>
      </w:r>
    </w:p>
    <w:p w14:paraId="308AC5C7" w14:textId="77777777" w:rsidR="00F8134D" w:rsidRDefault="00A56322" w:rsidP="00A56322">
      <w:pPr>
        <w:jc w:val="both"/>
      </w:pPr>
      <w:r>
        <w:t xml:space="preserve">Moreover, it is noted that in Rel-17 </w:t>
      </w:r>
      <w:r w:rsidRPr="00BC55E0">
        <w:rPr>
          <w:b/>
        </w:rPr>
        <w:t>the IAB-node is not</w:t>
      </w:r>
      <w:r w:rsidR="00F8134D" w:rsidRPr="00BC55E0">
        <w:rPr>
          <w:b/>
        </w:rPr>
        <w:t xml:space="preserve"> a normal UE</w:t>
      </w:r>
      <w:r w:rsidR="00F8134D" w:rsidRPr="001426C5">
        <w:rPr>
          <w:b/>
        </w:rPr>
        <w:t xml:space="preserve"> based on the following</w:t>
      </w:r>
      <w:r w:rsidR="001426C5">
        <w:rPr>
          <w:b/>
        </w:rPr>
        <w:t xml:space="preserve"> aspects</w:t>
      </w:r>
      <w:r w:rsidR="00F8134D" w:rsidRPr="001426C5">
        <w:rPr>
          <w:b/>
        </w:rPr>
        <w:t>:</w:t>
      </w:r>
    </w:p>
    <w:p w14:paraId="56D24380" w14:textId="77777777" w:rsidR="00F8134D" w:rsidRDefault="00D056A0" w:rsidP="008F4B2E">
      <w:pPr>
        <w:pStyle w:val="ac"/>
        <w:numPr>
          <w:ilvl w:val="0"/>
          <w:numId w:val="24"/>
        </w:numPr>
        <w:jc w:val="both"/>
        <w:rPr>
          <w:lang w:eastAsia="zh-CN"/>
        </w:rPr>
      </w:pPr>
      <w:r>
        <w:rPr>
          <w:lang w:eastAsia="zh-CN"/>
        </w:rPr>
        <w:t>IAB-node</w:t>
      </w:r>
      <w:r w:rsidR="00A56322">
        <w:rPr>
          <w:lang w:eastAsia="zh-CN"/>
        </w:rPr>
        <w:t xml:space="preserve"> needs to indicate i</w:t>
      </w:r>
      <w:r w:rsidR="00F8134D">
        <w:rPr>
          <w:lang w:eastAsia="zh-CN"/>
        </w:rPr>
        <w:t>ts IAB role in the RRC message</w:t>
      </w:r>
      <w:r>
        <w:rPr>
          <w:lang w:eastAsia="zh-CN"/>
        </w:rPr>
        <w:t xml:space="preserve">. </w:t>
      </w:r>
      <w:r w:rsidR="00E077BD">
        <w:rPr>
          <w:lang w:eastAsia="zh-CN"/>
        </w:rPr>
        <w:t xml:space="preserve">A </w:t>
      </w:r>
      <w:r>
        <w:rPr>
          <w:lang w:eastAsia="zh-CN"/>
        </w:rPr>
        <w:t xml:space="preserve">normal UE doesn’t provide such indication. </w:t>
      </w:r>
    </w:p>
    <w:p w14:paraId="5B746808" w14:textId="77777777" w:rsidR="00A56322" w:rsidRDefault="00D056A0" w:rsidP="008F4B2E">
      <w:pPr>
        <w:pStyle w:val="ac"/>
        <w:numPr>
          <w:ilvl w:val="0"/>
          <w:numId w:val="24"/>
        </w:numPr>
        <w:jc w:val="both"/>
        <w:rPr>
          <w:lang w:eastAsia="zh-CN"/>
        </w:rPr>
      </w:pPr>
      <w:r>
        <w:rPr>
          <w:lang w:eastAsia="zh-CN"/>
        </w:rPr>
        <w:t>IAB-node</w:t>
      </w:r>
      <w:r w:rsidR="00A56322">
        <w:rPr>
          <w:lang w:eastAsia="zh-CN"/>
        </w:rPr>
        <w:t xml:space="preserve"> acts as UE only for IAB-related oper</w:t>
      </w:r>
      <w:r>
        <w:rPr>
          <w:lang w:eastAsia="zh-CN"/>
        </w:rPr>
        <w:t xml:space="preserve">ation </w:t>
      </w:r>
      <w:r w:rsidR="00F677E2">
        <w:rPr>
          <w:lang w:eastAsia="zh-CN"/>
        </w:rPr>
        <w:t xml:space="preserve">when it connects to the network </w:t>
      </w:r>
      <w:r>
        <w:rPr>
          <w:lang w:eastAsia="zh-CN"/>
        </w:rPr>
        <w:t>as mentioned in TS 23.501.</w:t>
      </w:r>
    </w:p>
    <w:tbl>
      <w:tblPr>
        <w:tblStyle w:val="aa"/>
        <w:tblW w:w="0" w:type="auto"/>
        <w:tblLook w:val="04A0" w:firstRow="1" w:lastRow="0" w:firstColumn="1" w:lastColumn="0" w:noHBand="0" w:noVBand="1"/>
      </w:tblPr>
      <w:tblGrid>
        <w:gridCol w:w="9628"/>
      </w:tblGrid>
      <w:tr w:rsidR="00A56322" w14:paraId="494119A9" w14:textId="77777777" w:rsidTr="00727F53">
        <w:tc>
          <w:tcPr>
            <w:tcW w:w="9628" w:type="dxa"/>
          </w:tcPr>
          <w:p w14:paraId="0CE40346" w14:textId="77777777" w:rsidR="00925CE7" w:rsidRPr="006C450D" w:rsidRDefault="00925CE7" w:rsidP="00727F53">
            <w:pPr>
              <w:rPr>
                <w:rFonts w:ascii="Arial" w:hAnsi="Arial"/>
                <w:color w:val="auto"/>
                <w:sz w:val="24"/>
              </w:rPr>
            </w:pPr>
            <w:r w:rsidRPr="006C450D">
              <w:rPr>
                <w:rFonts w:ascii="Arial" w:hAnsi="Arial"/>
                <w:color w:val="auto"/>
                <w:sz w:val="24"/>
              </w:rPr>
              <w:t>TS 23.501</w:t>
            </w:r>
          </w:p>
          <w:p w14:paraId="30D464E3" w14:textId="77777777" w:rsidR="006C450D" w:rsidRPr="006C450D" w:rsidRDefault="006C450D" w:rsidP="006C450D">
            <w:pPr>
              <w:pStyle w:val="2"/>
              <w:rPr>
                <w:sz w:val="24"/>
                <w:lang w:eastAsia="en-US"/>
              </w:rPr>
            </w:pPr>
            <w:bookmarkStart w:id="9" w:name="_Toc122440726"/>
            <w:bookmarkStart w:id="10" w:name="_Toc51769563"/>
            <w:bookmarkStart w:id="11" w:name="_Toc47342861"/>
            <w:bookmarkStart w:id="12" w:name="_Toc45184019"/>
            <w:r w:rsidRPr="006C450D">
              <w:rPr>
                <w:sz w:val="24"/>
              </w:rPr>
              <w:lastRenderedPageBreak/>
              <w:t>5.35</w:t>
            </w:r>
            <w:r w:rsidRPr="006C450D">
              <w:rPr>
                <w:sz w:val="24"/>
              </w:rPr>
              <w:tab/>
              <w:t>Support for Integrated access and backhaul (IAB)</w:t>
            </w:r>
            <w:bookmarkEnd w:id="9"/>
            <w:bookmarkEnd w:id="10"/>
            <w:bookmarkEnd w:id="11"/>
            <w:bookmarkEnd w:id="12"/>
          </w:p>
          <w:p w14:paraId="5F2F1BD3" w14:textId="77777777" w:rsidR="006C450D" w:rsidRPr="006C450D" w:rsidRDefault="006C450D" w:rsidP="006C450D">
            <w:pPr>
              <w:pStyle w:val="3"/>
              <w:rPr>
                <w:sz w:val="22"/>
              </w:rPr>
            </w:pPr>
            <w:bookmarkStart w:id="13" w:name="_Toc122440727"/>
            <w:bookmarkStart w:id="14" w:name="_Toc51769564"/>
            <w:bookmarkStart w:id="15" w:name="_Toc47342862"/>
            <w:bookmarkStart w:id="16" w:name="_Toc45184020"/>
            <w:bookmarkStart w:id="17" w:name="_Toc36188113"/>
            <w:bookmarkStart w:id="18" w:name="_Toc27846982"/>
            <w:bookmarkStart w:id="19" w:name="_Toc20150176"/>
            <w:r w:rsidRPr="006C450D">
              <w:rPr>
                <w:sz w:val="22"/>
              </w:rPr>
              <w:t>5.35.1</w:t>
            </w:r>
            <w:r w:rsidRPr="006C450D">
              <w:rPr>
                <w:sz w:val="22"/>
              </w:rPr>
              <w:tab/>
              <w:t>IAB architecture and functional entities</w:t>
            </w:r>
            <w:bookmarkEnd w:id="13"/>
            <w:bookmarkEnd w:id="14"/>
            <w:bookmarkEnd w:id="15"/>
            <w:bookmarkEnd w:id="16"/>
            <w:bookmarkEnd w:id="17"/>
            <w:bookmarkEnd w:id="18"/>
            <w:bookmarkEnd w:id="19"/>
          </w:p>
          <w:p w14:paraId="1BC7CF47" w14:textId="2D4B52CF" w:rsidR="00A56322" w:rsidRDefault="006C450D" w:rsidP="006C450D">
            <w:pPr>
              <w:rPr>
                <w:color w:val="auto"/>
                <w:lang w:eastAsia="en-US"/>
              </w:rPr>
            </w:pPr>
            <w:r>
              <w:t xml:space="preserve"> </w:t>
            </w:r>
            <w:r w:rsidR="00A56322">
              <w:t>The IAB-UE function behaves as a UE, and reuses UE procedures to connect to:</w:t>
            </w:r>
          </w:p>
          <w:p w14:paraId="5B679E7F" w14:textId="77777777" w:rsidR="00A56322" w:rsidRDefault="00A56322" w:rsidP="00727F53">
            <w:pPr>
              <w:pStyle w:val="B1"/>
            </w:pPr>
            <w:r>
              <w:t>-</w:t>
            </w:r>
            <w:r>
              <w:tab/>
              <w:t>the gNB-DU on a parent IAB-node or IAB-donor for access and backhauling;</w:t>
            </w:r>
          </w:p>
          <w:p w14:paraId="313867D2" w14:textId="77777777" w:rsidR="00A56322" w:rsidRDefault="00A56322" w:rsidP="00727F53">
            <w:pPr>
              <w:pStyle w:val="B1"/>
            </w:pPr>
            <w:r>
              <w:t>-</w:t>
            </w:r>
            <w:r>
              <w:tab/>
              <w:t>the gNB-CU on the IAB-donor via RRC for control of the access and backhaul link;</w:t>
            </w:r>
          </w:p>
          <w:p w14:paraId="5BF3BC87" w14:textId="77777777" w:rsidR="00A56322" w:rsidRDefault="00A56322" w:rsidP="00727F53">
            <w:pPr>
              <w:pStyle w:val="B1"/>
            </w:pPr>
            <w:r>
              <w:t>-</w:t>
            </w:r>
            <w:r>
              <w:tab/>
              <w:t>5GC, e.g. AMF, via NAS;</w:t>
            </w:r>
          </w:p>
          <w:p w14:paraId="30946DB2" w14:textId="77777777" w:rsidR="00A56322" w:rsidRPr="006054E6" w:rsidRDefault="00A56322" w:rsidP="00727F53">
            <w:pPr>
              <w:pStyle w:val="B1"/>
            </w:pPr>
            <w:r>
              <w:t>-</w:t>
            </w:r>
            <w:r>
              <w:tab/>
              <w:t>OAM system via a PDU session or PDN connection (based on implementation).</w:t>
            </w:r>
          </w:p>
        </w:tc>
      </w:tr>
    </w:tbl>
    <w:p w14:paraId="6182339F" w14:textId="77777777" w:rsidR="00497F75" w:rsidRDefault="00350523" w:rsidP="008F4B2E">
      <w:pPr>
        <w:pStyle w:val="ac"/>
        <w:numPr>
          <w:ilvl w:val="0"/>
          <w:numId w:val="24"/>
        </w:numPr>
        <w:jc w:val="both"/>
        <w:rPr>
          <w:lang w:eastAsia="zh-CN"/>
        </w:rPr>
      </w:pPr>
      <w:r>
        <w:rPr>
          <w:lang w:eastAsia="zh-CN"/>
        </w:rPr>
        <w:lastRenderedPageBreak/>
        <w:t xml:space="preserve">The data exchange over IAB node’s PDU session </w:t>
      </w:r>
      <w:r w:rsidR="004E3218">
        <w:rPr>
          <w:lang w:eastAsia="zh-CN"/>
        </w:rPr>
        <w:t xml:space="preserve">has </w:t>
      </w:r>
      <w:r>
        <w:rPr>
          <w:lang w:eastAsia="zh-CN"/>
        </w:rPr>
        <w:t xml:space="preserve">different </w:t>
      </w:r>
      <w:r w:rsidR="004E3218">
        <w:rPr>
          <w:lang w:eastAsia="zh-CN"/>
        </w:rPr>
        <w:t>intention compared with</w:t>
      </w:r>
      <w:r>
        <w:rPr>
          <w:lang w:eastAsia="zh-CN"/>
        </w:rPr>
        <w:t xml:space="preserve"> the normal UEs. </w:t>
      </w:r>
      <w:r w:rsidR="00D056A0" w:rsidRPr="00D056A0">
        <w:rPr>
          <w:lang w:eastAsia="zh-CN"/>
        </w:rPr>
        <w:t xml:space="preserve">The PDU session between IAB-UE and </w:t>
      </w:r>
      <w:r w:rsidR="00612389">
        <w:rPr>
          <w:lang w:eastAsia="zh-CN"/>
        </w:rPr>
        <w:t xml:space="preserve">the </w:t>
      </w:r>
      <w:r w:rsidR="00D056A0" w:rsidRPr="00D056A0">
        <w:rPr>
          <w:lang w:eastAsia="zh-CN"/>
        </w:rPr>
        <w:t xml:space="preserve">OAM is used to </w:t>
      </w:r>
      <w:r w:rsidR="00D056A0">
        <w:rPr>
          <w:lang w:eastAsia="zh-CN"/>
        </w:rPr>
        <w:t xml:space="preserve">receive commands, </w:t>
      </w:r>
      <w:r w:rsidR="004935EA">
        <w:rPr>
          <w:lang w:eastAsia="zh-CN"/>
        </w:rPr>
        <w:t xml:space="preserve">configuration data and software </w:t>
      </w:r>
      <w:r w:rsidR="00D056A0">
        <w:rPr>
          <w:lang w:eastAsia="zh-CN"/>
        </w:rPr>
        <w:t xml:space="preserve">downloads (e.g. for equipment software upgrades) from OAM system as defined in the TS 38.401. </w:t>
      </w:r>
    </w:p>
    <w:tbl>
      <w:tblPr>
        <w:tblStyle w:val="aa"/>
        <w:tblW w:w="0" w:type="auto"/>
        <w:tblLook w:val="04A0" w:firstRow="1" w:lastRow="0" w:firstColumn="1" w:lastColumn="0" w:noHBand="0" w:noVBand="1"/>
      </w:tblPr>
      <w:tblGrid>
        <w:gridCol w:w="9628"/>
      </w:tblGrid>
      <w:tr w:rsidR="001B51F0" w14:paraId="667A5FCB" w14:textId="77777777" w:rsidTr="001B51F0">
        <w:tc>
          <w:tcPr>
            <w:tcW w:w="9628" w:type="dxa"/>
          </w:tcPr>
          <w:p w14:paraId="4DA0806A" w14:textId="77777777" w:rsidR="00925CE7" w:rsidRPr="00324659" w:rsidRDefault="00925CE7" w:rsidP="001B51F0">
            <w:pPr>
              <w:pStyle w:val="3"/>
              <w:jc w:val="both"/>
              <w:rPr>
                <w:sz w:val="24"/>
              </w:rPr>
            </w:pPr>
            <w:r w:rsidRPr="00324659">
              <w:rPr>
                <w:sz w:val="24"/>
              </w:rPr>
              <w:t>TS 38.401</w:t>
            </w:r>
          </w:p>
          <w:p w14:paraId="5B0342B0" w14:textId="216B3F6C" w:rsidR="001B51F0" w:rsidRPr="00324659" w:rsidRDefault="001B51F0" w:rsidP="001B51F0">
            <w:pPr>
              <w:pStyle w:val="3"/>
              <w:jc w:val="both"/>
              <w:rPr>
                <w:sz w:val="24"/>
              </w:rPr>
            </w:pPr>
            <w:r w:rsidRPr="00324659">
              <w:rPr>
                <w:sz w:val="24"/>
              </w:rPr>
              <w:t>8.9.11</w:t>
            </w:r>
            <w:r w:rsidRPr="00324659">
              <w:rPr>
                <w:sz w:val="24"/>
              </w:rPr>
              <w:tab/>
              <w:t>IAB-node OAM</w:t>
            </w:r>
          </w:p>
          <w:p w14:paraId="2722314E" w14:textId="77777777" w:rsidR="001B51F0" w:rsidRDefault="001B51F0" w:rsidP="001B51F0">
            <w:pPr>
              <w:pStyle w:val="NO"/>
              <w:jc w:val="both"/>
              <w:rPr>
                <w:lang w:eastAsia="ko-KR"/>
              </w:rPr>
            </w:pPr>
            <w:r>
              <w:t>NOTE:</w:t>
            </w:r>
            <w:r>
              <w:tab/>
              <w:t>The general principles and procedures described in this clause does not apply to ng-eNB.</w:t>
            </w:r>
          </w:p>
          <w:p w14:paraId="65CA4F3B" w14:textId="77777777" w:rsidR="001B51F0" w:rsidRDefault="001B51F0" w:rsidP="001B51F0">
            <w:pPr>
              <w:jc w:val="both"/>
            </w:pPr>
            <w:r>
              <w:t>The IAB-node receives commands, configuration data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D4E78BB" w14:textId="77777777" w:rsidR="001B51F0" w:rsidRDefault="001B51F0" w:rsidP="001B51F0">
            <w:pPr>
              <w:jc w:val="both"/>
              <w:rPr>
                <w:lang w:eastAsia="zh-CN"/>
              </w:rPr>
            </w:pPr>
            <w:r>
              <w:t>NOTE:</w:t>
            </w:r>
            <w:r>
              <w:tab/>
              <w:t xml:space="preserve">The transport connection between the IAB-node and its OAM may also be provided using the Backhaul IP layer by implementation. </w:t>
            </w:r>
          </w:p>
        </w:tc>
      </w:tr>
    </w:tbl>
    <w:p w14:paraId="191F6853" w14:textId="77777777" w:rsidR="001B51F0" w:rsidRDefault="00F1491A" w:rsidP="001B51F0">
      <w:pPr>
        <w:jc w:val="both"/>
      </w:pPr>
      <w:r w:rsidRPr="00372B33">
        <w:t>The MBSR</w:t>
      </w:r>
      <w:r w:rsidRPr="00523A6D">
        <w:t xml:space="preserve"> uses the IAB architecture </w:t>
      </w:r>
      <w:r w:rsidRPr="005F2D9B">
        <w:t>and operates</w:t>
      </w:r>
      <w:r w:rsidRPr="005C24A2">
        <w:t xml:space="preserve"> as an IAB node (</w:t>
      </w:r>
      <w:r w:rsidRPr="001D7A93">
        <w:t>with an</w:t>
      </w:r>
      <w:r w:rsidRPr="00C93FB3">
        <w:t xml:space="preserve"> IAB-UE and gNB-DU) </w:t>
      </w:r>
      <w:r w:rsidRPr="00017B23">
        <w:t xml:space="preserve">with mobility when integrated with the serving PLMN. </w:t>
      </w:r>
      <w:r w:rsidR="009D347D">
        <w:t xml:space="preserve">Therefore, </w:t>
      </w:r>
      <w:r w:rsidR="009D347D">
        <w:rPr>
          <w:lang w:eastAsia="zh-CN"/>
        </w:rPr>
        <w:t>if the MBSR is not allowed to act as an IAB node</w:t>
      </w:r>
      <w:r w:rsidR="009D347D">
        <w:t xml:space="preserve">, </w:t>
      </w:r>
      <w:r w:rsidR="009D347D">
        <w:rPr>
          <w:lang w:eastAsia="zh-CN"/>
        </w:rPr>
        <w:t xml:space="preserve">it should </w:t>
      </w:r>
      <w:r w:rsidR="009D347D">
        <w:t>disconnect from the network</w:t>
      </w:r>
      <w:r w:rsidR="005150BE">
        <w:t xml:space="preserve">. </w:t>
      </w:r>
    </w:p>
    <w:p w14:paraId="5CF28B39" w14:textId="57505912" w:rsidR="00571E71" w:rsidRPr="002F1698" w:rsidRDefault="00ED243D" w:rsidP="00324659">
      <w:pPr>
        <w:pStyle w:val="3"/>
      </w:pPr>
      <w:r w:rsidRPr="002F1698">
        <w:t>1</w:t>
      </w:r>
      <w:r w:rsidRPr="005A7904">
        <w:t>.2 Issue</w:t>
      </w:r>
      <w:r w:rsidRPr="007103D3">
        <w:t xml:space="preserve">s </w:t>
      </w:r>
      <w:r w:rsidRPr="005726D6">
        <w:t xml:space="preserve">when </w:t>
      </w:r>
      <w:r w:rsidRPr="00EE26ED">
        <w:t>MBSR</w:t>
      </w:r>
      <w:r w:rsidRPr="002F1698">
        <w:t xml:space="preserve"> still registers </w:t>
      </w:r>
      <w:r w:rsidR="005A7904">
        <w:t xml:space="preserve">with </w:t>
      </w:r>
      <w:r w:rsidRPr="005A7904">
        <w:t>netwo</w:t>
      </w:r>
      <w:r w:rsidRPr="007103D3">
        <w:t>rk</w:t>
      </w:r>
      <w:r w:rsidRPr="005726D6">
        <w:t xml:space="preserve"> as </w:t>
      </w:r>
      <w:r w:rsidR="007103D3">
        <w:t xml:space="preserve">a </w:t>
      </w:r>
      <w:r w:rsidRPr="007103D3">
        <w:t>no</w:t>
      </w:r>
      <w:r w:rsidRPr="005726D6">
        <w:t xml:space="preserve">rmal UE </w:t>
      </w:r>
      <w:r w:rsidRPr="00EE26ED">
        <w:t>in case MBSR authorization fails</w:t>
      </w:r>
    </w:p>
    <w:p w14:paraId="5FD40111" w14:textId="77777777" w:rsidR="00571E71" w:rsidRDefault="00571E71" w:rsidP="00571E71">
      <w:pPr>
        <w:jc w:val="center"/>
      </w:pPr>
      <w:r>
        <w:rPr>
          <w:noProof/>
          <w:lang w:val="en-US" w:eastAsia="zh-CN"/>
        </w:rPr>
        <w:drawing>
          <wp:inline distT="0" distB="0" distL="0" distR="0" wp14:anchorId="1816C296" wp14:editId="3C33C1BE">
            <wp:extent cx="4802531" cy="41846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05355" cy="4187110"/>
                    </a:xfrm>
                    <a:prstGeom prst="rect">
                      <a:avLst/>
                    </a:prstGeom>
                  </pic:spPr>
                </pic:pic>
              </a:graphicData>
            </a:graphic>
          </wp:inline>
        </w:drawing>
      </w:r>
    </w:p>
    <w:p w14:paraId="6339D093" w14:textId="77777777" w:rsidR="00571E71" w:rsidRPr="008C3E2F" w:rsidRDefault="00571E71" w:rsidP="00571E71">
      <w:pPr>
        <w:jc w:val="center"/>
        <w:rPr>
          <w:rFonts w:ascii="Arial" w:hAnsi="Arial" w:cs="Arial"/>
          <w:b/>
        </w:rPr>
      </w:pPr>
      <w:r w:rsidRPr="008C3E2F">
        <w:rPr>
          <w:rFonts w:ascii="Arial" w:hAnsi="Arial" w:cs="Arial"/>
          <w:b/>
        </w:rPr>
        <w:t>Figure 1</w:t>
      </w:r>
    </w:p>
    <w:p w14:paraId="532C191B" w14:textId="45551D72" w:rsidR="00FD0E25" w:rsidRDefault="00FD0E25" w:rsidP="00571E71">
      <w:pPr>
        <w:jc w:val="both"/>
      </w:pPr>
      <w:r>
        <w:t xml:space="preserve">There are some issues </w:t>
      </w:r>
      <w:r w:rsidRPr="005726D6">
        <w:t xml:space="preserve">when </w:t>
      </w:r>
      <w:r w:rsidRPr="00EE26ED">
        <w:t>MBSR</w:t>
      </w:r>
      <w:r w:rsidRPr="002F1698">
        <w:t xml:space="preserve"> still registers </w:t>
      </w:r>
      <w:r>
        <w:t xml:space="preserve">with </w:t>
      </w:r>
      <w:r w:rsidRPr="005A7904">
        <w:t>netwo</w:t>
      </w:r>
      <w:r w:rsidRPr="007103D3">
        <w:t>rk</w:t>
      </w:r>
      <w:r w:rsidRPr="005726D6">
        <w:t xml:space="preserve"> as </w:t>
      </w:r>
      <w:r>
        <w:t xml:space="preserve">a </w:t>
      </w:r>
      <w:r w:rsidRPr="007103D3">
        <w:t>no</w:t>
      </w:r>
      <w:r w:rsidRPr="005726D6">
        <w:t xml:space="preserve">rmal UE </w:t>
      </w:r>
      <w:r w:rsidRPr="00EE26ED">
        <w:t>in case MBSR authorization fails</w:t>
      </w:r>
      <w:r>
        <w:t>.</w:t>
      </w:r>
    </w:p>
    <w:p w14:paraId="3C038AB8" w14:textId="6D439C06" w:rsidR="00571E71" w:rsidRDefault="00571E71" w:rsidP="00571E71">
      <w:pPr>
        <w:jc w:val="both"/>
      </w:pPr>
      <w:r>
        <w:t>For example, see the Figure 1 for the details. During Registration procedure, the MBSR provides the IAB indication in the RRC message. If the AMF</w:t>
      </w:r>
      <w:r w:rsidRPr="00BD4ED1">
        <w:rPr>
          <w:lang w:val="en-US"/>
        </w:rPr>
        <w:t xml:space="preserve"> </w:t>
      </w:r>
      <w:r>
        <w:rPr>
          <w:lang w:val="en-US"/>
        </w:rPr>
        <w:t xml:space="preserve">decides MBSR </w:t>
      </w:r>
      <w:r>
        <w:t xml:space="preserve">is not allowed to act as an IAB node </w:t>
      </w:r>
      <w:r>
        <w:rPr>
          <w:lang w:val="en-US"/>
        </w:rPr>
        <w:t xml:space="preserve">based on MBSR location, </w:t>
      </w:r>
      <w:r w:rsidRPr="00886693">
        <w:rPr>
          <w:b/>
          <w:lang w:val="en-US"/>
        </w:rPr>
        <w:t>the AMF sends Registration Accept message to the MBSR</w:t>
      </w:r>
      <w:r>
        <w:rPr>
          <w:lang w:val="en-US"/>
        </w:rPr>
        <w:t xml:space="preserve"> so that MBSR is registered as a normal UE. In </w:t>
      </w:r>
      <w:r>
        <w:t xml:space="preserve">this case the N2 message to </w:t>
      </w:r>
      <w:r w:rsidR="00FD0E25">
        <w:t xml:space="preserve">the </w:t>
      </w:r>
      <w:r>
        <w:t xml:space="preserve">donor-gNB does not include </w:t>
      </w:r>
      <w:r w:rsidR="00FD0E25">
        <w:t xml:space="preserve">the </w:t>
      </w:r>
      <w:r>
        <w:t xml:space="preserve">MBSR authorization indication. But the MBSR assumes it is allowed to act as an IAB node </w:t>
      </w:r>
      <w:r>
        <w:rPr>
          <w:lang w:val="en-US"/>
        </w:rPr>
        <w:t xml:space="preserve">when receiving </w:t>
      </w:r>
      <w:r w:rsidRPr="00886693">
        <w:rPr>
          <w:b/>
          <w:lang w:val="en-US"/>
        </w:rPr>
        <w:t>Registration Accept</w:t>
      </w:r>
      <w:r>
        <w:rPr>
          <w:lang w:val="en-US"/>
        </w:rPr>
        <w:t xml:space="preserve"> and then it initiates F1 Setup procedure but </w:t>
      </w:r>
      <w:r>
        <w:t xml:space="preserve">donor-gNB rejects it. </w:t>
      </w:r>
    </w:p>
    <w:p w14:paraId="6EED7D39" w14:textId="77777777" w:rsidR="00571E71" w:rsidRDefault="00571E71" w:rsidP="00571E71">
      <w:pPr>
        <w:jc w:val="both"/>
        <w:rPr>
          <w:b/>
          <w:lang w:val="en-US"/>
        </w:rPr>
      </w:pPr>
      <w:r w:rsidRPr="00E6064C">
        <w:rPr>
          <w:b/>
          <w:lang w:val="en-US"/>
        </w:rPr>
        <w:t xml:space="preserve">Observation 1: </w:t>
      </w:r>
      <w:r>
        <w:rPr>
          <w:b/>
          <w:lang w:val="en-US"/>
        </w:rPr>
        <w:t xml:space="preserve">The </w:t>
      </w:r>
      <w:r w:rsidRPr="00E6064C">
        <w:rPr>
          <w:b/>
          <w:lang w:val="en-US"/>
        </w:rPr>
        <w:t xml:space="preserve">MBSR cannot know it is not authorized as </w:t>
      </w:r>
      <w:r>
        <w:rPr>
          <w:b/>
          <w:lang w:val="en-US"/>
        </w:rPr>
        <w:t xml:space="preserve">an </w:t>
      </w:r>
      <w:r w:rsidRPr="00E6064C">
        <w:rPr>
          <w:b/>
          <w:lang w:val="en-US"/>
        </w:rPr>
        <w:t xml:space="preserve">IAB node when </w:t>
      </w:r>
      <w:r>
        <w:rPr>
          <w:b/>
          <w:lang w:val="en-US"/>
        </w:rPr>
        <w:t xml:space="preserve">it receives the </w:t>
      </w:r>
      <w:r w:rsidRPr="00886693">
        <w:rPr>
          <w:b/>
          <w:lang w:val="en-US"/>
        </w:rPr>
        <w:t>Registration Accept message</w:t>
      </w:r>
      <w:r>
        <w:rPr>
          <w:b/>
          <w:lang w:val="en-US"/>
        </w:rPr>
        <w:t xml:space="preserve"> from the AMF. In this case, the signaling caused by </w:t>
      </w:r>
      <w:r w:rsidRPr="00F110E0">
        <w:rPr>
          <w:b/>
          <w:lang w:val="en-US"/>
        </w:rPr>
        <w:t>F1 Setup procedure is wasteful.</w:t>
      </w:r>
      <w:r>
        <w:rPr>
          <w:lang w:val="en-US"/>
        </w:rPr>
        <w:t xml:space="preserve"> </w:t>
      </w:r>
    </w:p>
    <w:p w14:paraId="27E9DF61" w14:textId="77777777" w:rsidR="00571E71" w:rsidRDefault="00571E71" w:rsidP="00571E71">
      <w:pPr>
        <w:jc w:val="center"/>
        <w:rPr>
          <w:lang w:val="en-US"/>
        </w:rPr>
      </w:pPr>
      <w:r>
        <w:rPr>
          <w:noProof/>
          <w:lang w:val="en-US" w:eastAsia="zh-CN"/>
        </w:rPr>
        <w:drawing>
          <wp:inline distT="0" distB="0" distL="0" distR="0" wp14:anchorId="289C7A47" wp14:editId="160BD0FC">
            <wp:extent cx="4723130" cy="2461536"/>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26446" cy="2463264"/>
                    </a:xfrm>
                    <a:prstGeom prst="rect">
                      <a:avLst/>
                    </a:prstGeom>
                  </pic:spPr>
                </pic:pic>
              </a:graphicData>
            </a:graphic>
          </wp:inline>
        </w:drawing>
      </w:r>
    </w:p>
    <w:p w14:paraId="66149DA4" w14:textId="10463DB7" w:rsidR="00571E71" w:rsidRPr="00EE26ED" w:rsidRDefault="00571E71" w:rsidP="00354263">
      <w:pPr>
        <w:jc w:val="center"/>
        <w:rPr>
          <w:rFonts w:ascii="Arial" w:hAnsi="Arial" w:cs="Arial"/>
          <w:b/>
        </w:rPr>
      </w:pPr>
      <w:r w:rsidRPr="008C3E2F">
        <w:rPr>
          <w:rFonts w:ascii="Arial" w:hAnsi="Arial" w:cs="Arial"/>
          <w:b/>
        </w:rPr>
        <w:t xml:space="preserve">Figure </w:t>
      </w:r>
      <w:r>
        <w:rPr>
          <w:rFonts w:ascii="Arial" w:hAnsi="Arial" w:cs="Arial"/>
          <w:b/>
        </w:rPr>
        <w:t>2</w:t>
      </w:r>
    </w:p>
    <w:p w14:paraId="3FF0997C" w14:textId="0E2F2A4D" w:rsidR="00571E71" w:rsidRPr="00DF7ED1" w:rsidRDefault="00571E71" w:rsidP="00571E71">
      <w:r>
        <w:rPr>
          <w:lang w:val="en-US"/>
        </w:rPr>
        <w:t>In addition</w:t>
      </w:r>
      <w:r w:rsidR="0071797A">
        <w:rPr>
          <w:lang w:val="en-US"/>
        </w:rPr>
        <w:t xml:space="preserve"> </w:t>
      </w:r>
      <w:r>
        <w:rPr>
          <w:lang w:val="en-US"/>
        </w:rPr>
        <w:t xml:space="preserve">(see Figure 2), when MBSR </w:t>
      </w:r>
      <w:r w:rsidRPr="000D3C9D">
        <w:rPr>
          <w:lang w:val="en-US"/>
        </w:rPr>
        <w:t xml:space="preserve">registered as </w:t>
      </w:r>
      <w:r w:rsidR="00EF38FC">
        <w:rPr>
          <w:lang w:val="en-US"/>
        </w:rPr>
        <w:t xml:space="preserve">a </w:t>
      </w:r>
      <w:r w:rsidRPr="000D3C9D">
        <w:rPr>
          <w:lang w:val="en-US"/>
        </w:rPr>
        <w:t xml:space="preserve">normal UE </w:t>
      </w:r>
      <w:r>
        <w:rPr>
          <w:lang w:val="en-US"/>
        </w:rPr>
        <w:t xml:space="preserve">moves from </w:t>
      </w:r>
      <w:r w:rsidR="00214E4E">
        <w:rPr>
          <w:lang w:val="en-US"/>
        </w:rPr>
        <w:t xml:space="preserve">the </w:t>
      </w:r>
      <w:r>
        <w:rPr>
          <w:lang w:val="en-US"/>
        </w:rPr>
        <w:t xml:space="preserve">non-allowed area as an IAB node to the allowed area as </w:t>
      </w:r>
      <w:r w:rsidR="00214E4E">
        <w:rPr>
          <w:lang w:val="en-US"/>
        </w:rPr>
        <w:t xml:space="preserve">an </w:t>
      </w:r>
      <w:r>
        <w:rPr>
          <w:lang w:val="en-US"/>
        </w:rPr>
        <w:t>IAB node, h</w:t>
      </w:r>
      <w:r w:rsidRPr="00DF7ED1">
        <w:rPr>
          <w:lang w:val="en-US"/>
        </w:rPr>
        <w:t xml:space="preserve">ow to trigger </w:t>
      </w:r>
      <w:r w:rsidRPr="000D3C9D">
        <w:rPr>
          <w:lang w:val="en-US"/>
        </w:rPr>
        <w:t>the provisioning of the “updated IAB</w:t>
      </w:r>
      <w:r w:rsidRPr="00DF7ED1">
        <w:t xml:space="preserve"> authorization” information (e.g., N2 message update to donor-gNB, NAS message to MBSR)? Since </w:t>
      </w:r>
      <w:r>
        <w:t xml:space="preserve">the </w:t>
      </w:r>
      <w:r w:rsidRPr="00DF7ED1">
        <w:t>Registration Accept message has been already sent by AMF</w:t>
      </w:r>
      <w:r w:rsidR="00214E4E">
        <w:t xml:space="preserve"> when MBSR</w:t>
      </w:r>
      <w:r>
        <w:t xml:space="preserve"> is located in the</w:t>
      </w:r>
      <w:r w:rsidRPr="00933C28">
        <w:rPr>
          <w:lang w:val="en-US"/>
        </w:rPr>
        <w:t xml:space="preserve"> </w:t>
      </w:r>
      <w:r>
        <w:rPr>
          <w:lang w:val="en-US"/>
        </w:rPr>
        <w:t>non-allowed area</w:t>
      </w:r>
      <w:r w:rsidRPr="00DF7ED1">
        <w:t xml:space="preserve">, how the MBSR knows it moves to the allowed area as </w:t>
      </w:r>
      <w:r w:rsidR="00214E4E">
        <w:t xml:space="preserve">an </w:t>
      </w:r>
      <w:r w:rsidRPr="00DF7ED1">
        <w:t>IAB nod</w:t>
      </w:r>
      <w:r>
        <w:t>e to trigger the F1 setup procedure initiation</w:t>
      </w:r>
      <w:r w:rsidRPr="00DF7ED1">
        <w:t>?</w:t>
      </w:r>
      <w:r w:rsidRPr="00DF7ED1">
        <w:rPr>
          <w:rFonts w:hint="eastAsia"/>
        </w:rPr>
        <w:t xml:space="preserve"> </w:t>
      </w:r>
    </w:p>
    <w:p w14:paraId="0C3CFC06" w14:textId="08E7DBAE" w:rsidR="00571E71" w:rsidRDefault="00571E71" w:rsidP="00571E71">
      <w:pPr>
        <w:jc w:val="both"/>
        <w:rPr>
          <w:b/>
          <w:lang w:val="en-US"/>
        </w:rPr>
      </w:pPr>
      <w:r w:rsidRPr="00E6064C">
        <w:rPr>
          <w:b/>
          <w:lang w:val="en-US"/>
        </w:rPr>
        <w:t xml:space="preserve">Observation </w:t>
      </w:r>
      <w:r>
        <w:rPr>
          <w:b/>
          <w:lang w:val="en-US"/>
        </w:rPr>
        <w:t>2</w:t>
      </w:r>
      <w:r w:rsidRPr="00E6064C">
        <w:rPr>
          <w:b/>
          <w:lang w:val="en-US"/>
        </w:rPr>
        <w:t>:</w:t>
      </w:r>
      <w:r>
        <w:rPr>
          <w:b/>
          <w:lang w:val="en-US"/>
        </w:rPr>
        <w:t xml:space="preserve"> When the MBSR registered as </w:t>
      </w:r>
      <w:r w:rsidR="00EF38FC">
        <w:rPr>
          <w:b/>
          <w:lang w:val="en-US"/>
        </w:rPr>
        <w:t xml:space="preserve">a </w:t>
      </w:r>
      <w:r>
        <w:rPr>
          <w:b/>
          <w:lang w:val="en-US"/>
        </w:rPr>
        <w:t xml:space="preserve">normal UE moves </w:t>
      </w:r>
      <w:r w:rsidRPr="000D3C9D">
        <w:rPr>
          <w:b/>
          <w:lang w:val="en-US"/>
        </w:rPr>
        <w:t xml:space="preserve">from </w:t>
      </w:r>
      <w:r w:rsidR="00DB2282">
        <w:rPr>
          <w:b/>
          <w:lang w:val="en-US"/>
        </w:rPr>
        <w:t xml:space="preserve">the </w:t>
      </w:r>
      <w:r w:rsidRPr="000D3C9D">
        <w:rPr>
          <w:b/>
          <w:lang w:val="en-US"/>
        </w:rPr>
        <w:t xml:space="preserve">non-allowed area as an IAB node to the allowed area as </w:t>
      </w:r>
      <w:r w:rsidR="00DB2282">
        <w:rPr>
          <w:b/>
          <w:lang w:val="en-US"/>
        </w:rPr>
        <w:t xml:space="preserve">an </w:t>
      </w:r>
      <w:r w:rsidRPr="000D3C9D">
        <w:rPr>
          <w:b/>
          <w:lang w:val="en-US"/>
        </w:rPr>
        <w:t>IAB node</w:t>
      </w:r>
      <w:r>
        <w:rPr>
          <w:b/>
          <w:lang w:val="en-US"/>
        </w:rPr>
        <w:t xml:space="preserve">, how to trigger the MBSR changes from a normal UE to an IAB node is not clear </w:t>
      </w:r>
      <w:r w:rsidR="00EF38FC">
        <w:rPr>
          <w:b/>
          <w:lang w:val="en-US"/>
        </w:rPr>
        <w:t xml:space="preserve">and </w:t>
      </w:r>
      <w:r>
        <w:rPr>
          <w:b/>
          <w:lang w:val="en-US"/>
        </w:rPr>
        <w:t>not discussed in SA2.</w:t>
      </w:r>
      <w:r w:rsidRPr="000D3C9D">
        <w:rPr>
          <w:b/>
          <w:lang w:val="en-US"/>
        </w:rPr>
        <w:t xml:space="preserve"> </w:t>
      </w:r>
    </w:p>
    <w:p w14:paraId="7C54D168" w14:textId="27EAA389" w:rsidR="00571E71" w:rsidRPr="00571E71" w:rsidRDefault="00571E71" w:rsidP="003869DD">
      <w:pPr>
        <w:jc w:val="both"/>
        <w:rPr>
          <w:lang w:val="en-US"/>
        </w:rPr>
      </w:pPr>
      <w:r w:rsidRPr="00571E71">
        <w:rPr>
          <w:lang w:val="en-US"/>
        </w:rPr>
        <w:t xml:space="preserve">Therefore, based on the above analysis, </w:t>
      </w:r>
      <w:r w:rsidR="00057F3D">
        <w:rPr>
          <w:lang w:val="en-US"/>
        </w:rPr>
        <w:t>during R</w:t>
      </w:r>
      <w:r w:rsidR="00057F3D" w:rsidRPr="008E191E">
        <w:rPr>
          <w:lang w:val="en-US"/>
        </w:rPr>
        <w:t>egistration procedure</w:t>
      </w:r>
      <w:r w:rsidR="00057F3D" w:rsidRPr="00571E71">
        <w:rPr>
          <w:lang w:val="en-US"/>
        </w:rPr>
        <w:t xml:space="preserve"> </w:t>
      </w:r>
      <w:r w:rsidRPr="00571E71">
        <w:rPr>
          <w:lang w:val="en-US"/>
        </w:rPr>
        <w:t xml:space="preserve">when </w:t>
      </w:r>
      <w:r w:rsidR="003869DD">
        <w:rPr>
          <w:lang w:val="en-US"/>
        </w:rPr>
        <w:t>MBSR authorization fails</w:t>
      </w:r>
      <w:r w:rsidRPr="00571E71">
        <w:rPr>
          <w:lang w:val="en-US"/>
        </w:rPr>
        <w:t xml:space="preserve">, </w:t>
      </w:r>
      <w:r w:rsidR="00057F3D">
        <w:rPr>
          <w:lang w:val="en-US"/>
        </w:rPr>
        <w:t>t</w:t>
      </w:r>
      <w:r w:rsidRPr="00571E71">
        <w:rPr>
          <w:lang w:val="en-US"/>
        </w:rPr>
        <w:t xml:space="preserve">he AMF should send Registration Reject message. </w:t>
      </w:r>
      <w:r>
        <w:rPr>
          <w:lang w:val="en-US"/>
        </w:rPr>
        <w:t xml:space="preserve">Even after </w:t>
      </w:r>
      <w:r w:rsidRPr="00571E71">
        <w:rPr>
          <w:lang w:val="en-US"/>
        </w:rPr>
        <w:t>the MBSR is authoriz</w:t>
      </w:r>
      <w:r w:rsidRPr="00DB2671">
        <w:rPr>
          <w:lang w:val="en-US"/>
        </w:rPr>
        <w:t xml:space="preserve">ed as </w:t>
      </w:r>
      <w:r>
        <w:rPr>
          <w:lang w:val="en-US"/>
        </w:rPr>
        <w:t>an IAB node</w:t>
      </w:r>
      <w:r w:rsidRPr="00DB2671">
        <w:rPr>
          <w:lang w:val="en-US"/>
        </w:rPr>
        <w:t xml:space="preserve"> in the </w:t>
      </w:r>
      <w:r>
        <w:rPr>
          <w:lang w:val="en-US"/>
        </w:rPr>
        <w:t>initial registration</w:t>
      </w:r>
      <w:r w:rsidRPr="00DB2671">
        <w:rPr>
          <w:lang w:val="en-US"/>
        </w:rPr>
        <w:t>, the AMF of MBSR</w:t>
      </w:r>
      <w:r>
        <w:rPr>
          <w:lang w:val="en-US"/>
        </w:rPr>
        <w:t xml:space="preserve"> can decide MBSR </w:t>
      </w:r>
      <w:r w:rsidRPr="00571E71">
        <w:rPr>
          <w:lang w:val="en-US"/>
        </w:rPr>
        <w:t>is not allowed to act as an IAB node</w:t>
      </w:r>
      <w:r>
        <w:rPr>
          <w:lang w:val="en-US"/>
        </w:rPr>
        <w:t xml:space="preserve"> based on MBSR location and send </w:t>
      </w:r>
      <w:r w:rsidRPr="00571E71">
        <w:rPr>
          <w:lang w:val="en-US"/>
        </w:rPr>
        <w:t xml:space="preserve">Deregistration Request message to the </w:t>
      </w:r>
      <w:r>
        <w:rPr>
          <w:lang w:val="en-US"/>
        </w:rPr>
        <w:t>MBSR.</w:t>
      </w:r>
    </w:p>
    <w:p w14:paraId="64F201A8" w14:textId="77777777" w:rsidR="008F0B57" w:rsidRDefault="00A56322" w:rsidP="00636B44">
      <w:pPr>
        <w:pStyle w:val="1"/>
        <w:rPr>
          <w:lang w:eastAsia="zh-CN"/>
        </w:rPr>
      </w:pPr>
      <w:r>
        <w:rPr>
          <w:lang w:eastAsia="zh-CN"/>
        </w:rPr>
        <w:t>2</w:t>
      </w:r>
      <w:r w:rsidR="00AB1E11">
        <w:rPr>
          <w:lang w:eastAsia="zh-CN"/>
        </w:rPr>
        <w:t>. Conclusion and proposal</w:t>
      </w:r>
      <w:r w:rsidR="00E71C8B">
        <w:rPr>
          <w:lang w:eastAsia="zh-CN"/>
        </w:rPr>
        <w:t>(s)</w:t>
      </w:r>
    </w:p>
    <w:p w14:paraId="33366B24" w14:textId="77777777" w:rsidR="00294B58" w:rsidRPr="00412209" w:rsidRDefault="00412209" w:rsidP="00294B58">
      <w:pPr>
        <w:rPr>
          <w:rFonts w:ascii="Arial" w:eastAsiaTheme="minorEastAsia" w:hAnsi="Arial" w:cs="Arial"/>
          <w:lang w:eastAsia="zh-CN"/>
        </w:rPr>
      </w:pPr>
      <w:r>
        <w:rPr>
          <w:rFonts w:ascii="Arial" w:hAnsi="Arial" w:cs="Arial"/>
          <w:b/>
          <w:lang w:eastAsia="zh-CN"/>
        </w:rPr>
        <w:t>[</w:t>
      </w:r>
      <w:r w:rsidR="000D595D" w:rsidRPr="000D595D">
        <w:rPr>
          <w:rFonts w:ascii="Arial" w:hAnsi="Arial" w:cs="Arial"/>
          <w:b/>
          <w:lang w:eastAsia="zh-CN"/>
        </w:rPr>
        <w:t>Conclusion</w:t>
      </w:r>
      <w:r>
        <w:rPr>
          <w:rFonts w:ascii="Arial" w:hAnsi="Arial" w:cs="Arial"/>
          <w:b/>
          <w:lang w:eastAsia="zh-CN"/>
        </w:rPr>
        <w:t>]</w:t>
      </w:r>
      <w:r w:rsidR="000D595D" w:rsidRPr="000D595D">
        <w:rPr>
          <w:rFonts w:ascii="Arial" w:hAnsi="Arial" w:cs="Arial"/>
          <w:b/>
          <w:lang w:eastAsia="zh-CN"/>
        </w:rPr>
        <w:t xml:space="preserve">: </w:t>
      </w:r>
      <w:r w:rsidR="000D3307" w:rsidRPr="00412209">
        <w:rPr>
          <w:rFonts w:ascii="Arial" w:hAnsi="Arial" w:cs="Arial"/>
          <w:lang w:eastAsia="zh-CN"/>
        </w:rPr>
        <w:t>I</w:t>
      </w:r>
      <w:r w:rsidR="00C0778D" w:rsidRPr="00412209">
        <w:rPr>
          <w:rFonts w:ascii="Arial" w:hAnsi="Arial" w:cs="Arial"/>
          <w:lang w:eastAsia="zh-CN"/>
        </w:rPr>
        <w:t>n case of MBSR authorizatio</w:t>
      </w:r>
      <w:r w:rsidR="00C0778D" w:rsidRPr="00412209">
        <w:rPr>
          <w:rFonts w:ascii="Arial" w:hAnsi="Arial" w:cs="Arial" w:hint="eastAsia"/>
          <w:lang w:eastAsia="zh-CN"/>
        </w:rPr>
        <w:t>n</w:t>
      </w:r>
      <w:r w:rsidR="003A3F7B" w:rsidRPr="00412209">
        <w:rPr>
          <w:rFonts w:ascii="Arial" w:hAnsi="Arial" w:cs="Arial"/>
          <w:lang w:eastAsia="zh-CN"/>
        </w:rPr>
        <w:t xml:space="preserve"> failure</w:t>
      </w:r>
      <w:r w:rsidR="00C0778D" w:rsidRPr="00412209">
        <w:rPr>
          <w:rFonts w:ascii="Arial" w:hAnsi="Arial" w:cs="Arial"/>
          <w:lang w:eastAsia="zh-CN"/>
        </w:rPr>
        <w:t xml:space="preserve">, the </w:t>
      </w:r>
      <w:r w:rsidR="00BB6788" w:rsidRPr="00412209">
        <w:rPr>
          <w:rFonts w:ascii="Arial" w:hAnsi="Arial" w:cs="Arial"/>
          <w:lang w:eastAsia="zh-CN"/>
        </w:rPr>
        <w:t xml:space="preserve">MBSR is not allowed to be registered in the network. </w:t>
      </w:r>
    </w:p>
    <w:p w14:paraId="49B90724" w14:textId="42754508" w:rsidR="00294B58" w:rsidRPr="000D595D" w:rsidRDefault="00412209" w:rsidP="00294B58">
      <w:pPr>
        <w:rPr>
          <w:rFonts w:ascii="Arial" w:hAnsi="Arial" w:cs="Arial"/>
          <w:b/>
          <w:lang w:eastAsia="zh-CN"/>
        </w:rPr>
      </w:pPr>
      <w:r>
        <w:rPr>
          <w:rFonts w:ascii="Arial" w:hAnsi="Arial" w:cs="Arial"/>
          <w:b/>
          <w:lang w:eastAsia="zh-CN"/>
        </w:rPr>
        <w:t>[</w:t>
      </w:r>
      <w:r w:rsidR="000D595D" w:rsidRPr="000D595D">
        <w:rPr>
          <w:rFonts w:ascii="Arial" w:hAnsi="Arial" w:cs="Arial"/>
          <w:b/>
          <w:lang w:eastAsia="zh-CN"/>
        </w:rPr>
        <w:t>Proposal</w:t>
      </w:r>
      <w:r>
        <w:rPr>
          <w:rFonts w:ascii="Arial" w:hAnsi="Arial" w:cs="Arial"/>
          <w:b/>
          <w:lang w:eastAsia="zh-CN"/>
        </w:rPr>
        <w:t>]</w:t>
      </w:r>
      <w:r w:rsidR="000D595D" w:rsidRPr="000D595D">
        <w:rPr>
          <w:rFonts w:ascii="Arial" w:hAnsi="Arial" w:cs="Arial"/>
          <w:b/>
          <w:lang w:eastAsia="zh-CN"/>
        </w:rPr>
        <w:t xml:space="preserve">: </w:t>
      </w:r>
      <w:r w:rsidR="007D6C3F" w:rsidRPr="00412209">
        <w:rPr>
          <w:rFonts w:ascii="Arial" w:hAnsi="Arial" w:cs="Arial"/>
          <w:lang w:eastAsia="zh-CN"/>
        </w:rPr>
        <w:t>I</w:t>
      </w:r>
      <w:r w:rsidR="00C90767" w:rsidRPr="00412209">
        <w:rPr>
          <w:rFonts w:ascii="Arial" w:hAnsi="Arial" w:cs="Arial"/>
          <w:lang w:eastAsia="zh-CN"/>
        </w:rPr>
        <w:t xml:space="preserve">t is proposed to update </w:t>
      </w:r>
      <w:r w:rsidR="00614833" w:rsidRPr="00412209">
        <w:rPr>
          <w:rFonts w:ascii="Arial" w:hAnsi="Arial" w:cs="Arial"/>
          <w:lang w:eastAsia="zh-CN"/>
        </w:rPr>
        <w:t xml:space="preserve">clause 5.35A.4 in TS 23.501 to clarify </w:t>
      </w:r>
      <w:r w:rsidR="00A23F5A" w:rsidRPr="00412209">
        <w:rPr>
          <w:rFonts w:ascii="Arial" w:hAnsi="Arial" w:cs="Arial"/>
          <w:lang w:eastAsia="zh-CN"/>
        </w:rPr>
        <w:t>the</w:t>
      </w:r>
      <w:r w:rsidR="00B72327" w:rsidRPr="00412209">
        <w:rPr>
          <w:rFonts w:ascii="Arial" w:hAnsi="Arial" w:cs="Arial"/>
          <w:lang w:eastAsia="zh-CN"/>
        </w:rPr>
        <w:t xml:space="preserve"> AMF of the MBSR indicates to the MBSR that it is not allowed to act as an IAB node in the RA as part of registration procedure via registration reject. After the MBSR is authorized as an IAB node in the initial registration, the AMF of MBSR supports</w:t>
      </w:r>
      <w:r w:rsidR="003A3F7B" w:rsidRPr="00412209">
        <w:rPr>
          <w:rFonts w:ascii="Arial" w:hAnsi="Arial" w:cs="Arial"/>
          <w:lang w:eastAsia="zh-CN"/>
        </w:rPr>
        <w:t xml:space="preserve"> location-</w:t>
      </w:r>
      <w:r w:rsidR="00B72327" w:rsidRPr="00412209">
        <w:rPr>
          <w:rFonts w:ascii="Arial" w:hAnsi="Arial" w:cs="Arial"/>
          <w:lang w:eastAsia="zh-CN"/>
        </w:rPr>
        <w:t xml:space="preserve">based restriction of MBSR operation and shall de-register the MBSR from </w:t>
      </w:r>
      <w:r w:rsidR="003A3F7B" w:rsidRPr="00412209">
        <w:rPr>
          <w:rFonts w:ascii="Arial" w:hAnsi="Arial" w:cs="Arial"/>
          <w:lang w:eastAsia="zh-CN"/>
        </w:rPr>
        <w:t xml:space="preserve">the </w:t>
      </w:r>
      <w:r w:rsidR="00B72327" w:rsidRPr="00412209">
        <w:rPr>
          <w:rFonts w:ascii="Arial" w:hAnsi="Arial" w:cs="Arial"/>
          <w:lang w:eastAsia="zh-CN"/>
        </w:rPr>
        <w:t xml:space="preserve">network if </w:t>
      </w:r>
      <w:r w:rsidR="00FD0A8E" w:rsidRPr="00412209">
        <w:rPr>
          <w:rFonts w:ascii="Arial" w:hAnsi="Arial" w:cs="Arial"/>
          <w:lang w:eastAsia="zh-CN"/>
        </w:rPr>
        <w:t xml:space="preserve">MBSR is located in an area </w:t>
      </w:r>
      <w:r w:rsidR="003A3F7B" w:rsidRPr="00412209">
        <w:rPr>
          <w:rFonts w:ascii="Arial" w:hAnsi="Arial" w:cs="Arial"/>
          <w:lang w:eastAsia="zh-CN"/>
        </w:rPr>
        <w:t xml:space="preserve">that </w:t>
      </w:r>
      <w:r w:rsidR="00FD0A8E" w:rsidRPr="00412209">
        <w:rPr>
          <w:rFonts w:ascii="Arial" w:hAnsi="Arial" w:cs="Arial"/>
          <w:lang w:eastAsia="zh-CN"/>
        </w:rPr>
        <w:t xml:space="preserve">does not allow MBSR to act as an IAB node. </w:t>
      </w:r>
      <w:r w:rsidR="00571E71" w:rsidRPr="00571E71">
        <w:rPr>
          <w:rFonts w:ascii="Arial" w:hAnsi="Arial" w:cs="Arial"/>
          <w:lang w:eastAsia="zh-CN"/>
        </w:rPr>
        <w:t>Even after the MBSR is authorized as an IAB node in the initial registration, the AMF of MBSR can decide MBSR is not allowed to act as an IAB node based on MBSR location and send Deregistration Request message to the MBSR</w:t>
      </w:r>
      <w:r w:rsidR="00571E71">
        <w:rPr>
          <w:rFonts w:ascii="Arial" w:hAnsi="Arial" w:cs="Arial"/>
          <w:lang w:eastAsia="zh-CN"/>
        </w:rPr>
        <w:t>.</w:t>
      </w:r>
      <w:r w:rsidR="00F943CD">
        <w:rPr>
          <w:rFonts w:ascii="Arial" w:hAnsi="Arial" w:cs="Arial"/>
          <w:lang w:eastAsia="zh-CN"/>
        </w:rPr>
        <w:t xml:space="preserve"> </w:t>
      </w:r>
      <w:r w:rsidR="00F943CD" w:rsidRPr="000E6293">
        <w:rPr>
          <w:rFonts w:ascii="Arial" w:hAnsi="Arial" w:cs="Arial"/>
          <w:lang w:eastAsia="zh-CN"/>
        </w:rPr>
        <w:t xml:space="preserve">The related CR is </w:t>
      </w:r>
      <w:r w:rsidR="000E6293" w:rsidRPr="000E6293">
        <w:rPr>
          <w:rFonts w:ascii="Arial" w:hAnsi="Arial" w:cs="Arial"/>
          <w:lang w:eastAsia="zh-CN"/>
        </w:rPr>
        <w:t>S2-2300583</w:t>
      </w:r>
      <w:r w:rsidR="0048068A">
        <w:rPr>
          <w:rFonts w:ascii="Arial" w:hAnsi="Arial" w:cs="Arial"/>
          <w:lang w:eastAsia="zh-CN"/>
        </w:rPr>
        <w:t>.</w:t>
      </w:r>
    </w:p>
    <w:sectPr w:rsidR="00294B58" w:rsidRPr="000D595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6EB79" w16cid:durableId="27653863"/>
  <w16cid:commentId w16cid:paraId="0D27B171" w16cid:durableId="27654553"/>
  <w16cid:commentId w16cid:paraId="60493A5D" w16cid:durableId="276582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E052F" w14:textId="77777777" w:rsidR="00D90D22" w:rsidRDefault="00D90D22">
      <w:r>
        <w:separator/>
      </w:r>
    </w:p>
    <w:p w14:paraId="2C198AAE" w14:textId="77777777" w:rsidR="00D90D22" w:rsidRDefault="00D90D22"/>
  </w:endnote>
  <w:endnote w:type="continuationSeparator" w:id="0">
    <w:p w14:paraId="30338431" w14:textId="77777777" w:rsidR="00D90D22" w:rsidRDefault="00D90D22">
      <w:r>
        <w:continuationSeparator/>
      </w:r>
    </w:p>
    <w:p w14:paraId="4363105C" w14:textId="77777777" w:rsidR="00D90D22" w:rsidRDefault="00D90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849"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66161CBB"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5927A5"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F63EC" w14:textId="77777777" w:rsidR="00D90D22" w:rsidRDefault="00D90D22">
      <w:r>
        <w:separator/>
      </w:r>
    </w:p>
    <w:p w14:paraId="0519127B" w14:textId="77777777" w:rsidR="00D90D22" w:rsidRDefault="00D90D22"/>
  </w:footnote>
  <w:footnote w:type="continuationSeparator" w:id="0">
    <w:p w14:paraId="0384884C" w14:textId="77777777" w:rsidR="00D90D22" w:rsidRDefault="00D90D22">
      <w:r>
        <w:continuationSeparator/>
      </w:r>
    </w:p>
    <w:p w14:paraId="0E6D8070" w14:textId="77777777" w:rsidR="00D90D22" w:rsidRDefault="00D90D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962E9" w14:textId="77777777" w:rsidR="00013A5E" w:rsidRDefault="00013A5E"/>
  <w:p w14:paraId="1A346920"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704B6"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78C70D1"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90D22">
      <w:rPr>
        <w:rFonts w:ascii="Arial" w:hAnsi="Arial" w:cs="Arial"/>
        <w:b/>
        <w:bCs/>
        <w:noProof/>
        <w:sz w:val="18"/>
        <w:lang w:val="fr-FR"/>
      </w:rPr>
      <w:t>1</w:t>
    </w:r>
    <w:r>
      <w:rPr>
        <w:rFonts w:ascii="Arial" w:hAnsi="Arial" w:cs="Arial"/>
        <w:b/>
        <w:bCs/>
        <w:sz w:val="18"/>
      </w:rPr>
      <w:fldChar w:fldCharType="end"/>
    </w:r>
  </w:p>
  <w:p w14:paraId="71D0CC54" w14:textId="77777777"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C5163"/>
    <w:multiLevelType w:val="hybridMultilevel"/>
    <w:tmpl w:val="EA648974"/>
    <w:lvl w:ilvl="0" w:tplc="61C2BE3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627795"/>
    <w:multiLevelType w:val="hybridMultilevel"/>
    <w:tmpl w:val="6B1A29AA"/>
    <w:lvl w:ilvl="0" w:tplc="310C0D2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0501C9"/>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4B38C4"/>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2558B7"/>
    <w:multiLevelType w:val="hybridMultilevel"/>
    <w:tmpl w:val="7F1A9E8C"/>
    <w:lvl w:ilvl="0" w:tplc="095C67E6">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4F2A75"/>
    <w:multiLevelType w:val="hybridMultilevel"/>
    <w:tmpl w:val="0AE44D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A51E7D"/>
    <w:multiLevelType w:val="hybridMultilevel"/>
    <w:tmpl w:val="845C24B0"/>
    <w:lvl w:ilvl="0" w:tplc="2EC8F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C4377B"/>
    <w:multiLevelType w:val="hybridMultilevel"/>
    <w:tmpl w:val="59A809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
  </w:num>
  <w:num w:numId="4">
    <w:abstractNumId w:val="6"/>
  </w:num>
  <w:num w:numId="5">
    <w:abstractNumId w:val="14"/>
  </w:num>
  <w:num w:numId="6">
    <w:abstractNumId w:val="25"/>
  </w:num>
  <w:num w:numId="7">
    <w:abstractNumId w:val="9"/>
  </w:num>
  <w:num w:numId="8">
    <w:abstractNumId w:val="13"/>
  </w:num>
  <w:num w:numId="9">
    <w:abstractNumId w:val="22"/>
  </w:num>
  <w:num w:numId="10">
    <w:abstractNumId w:val="27"/>
  </w:num>
  <w:num w:numId="11">
    <w:abstractNumId w:val="10"/>
  </w:num>
  <w:num w:numId="12">
    <w:abstractNumId w:val="0"/>
  </w:num>
  <w:num w:numId="13">
    <w:abstractNumId w:val="3"/>
  </w:num>
  <w:num w:numId="14">
    <w:abstractNumId w:val="11"/>
  </w:num>
  <w:num w:numId="15">
    <w:abstractNumId w:val="15"/>
  </w:num>
  <w:num w:numId="16">
    <w:abstractNumId w:val="5"/>
  </w:num>
  <w:num w:numId="17">
    <w:abstractNumId w:val="21"/>
  </w:num>
  <w:num w:numId="18">
    <w:abstractNumId w:val="12"/>
  </w:num>
  <w:num w:numId="19">
    <w:abstractNumId w:val="17"/>
  </w:num>
  <w:num w:numId="20">
    <w:abstractNumId w:val="20"/>
  </w:num>
  <w:num w:numId="21">
    <w:abstractNumId w:val="23"/>
  </w:num>
  <w:num w:numId="22">
    <w:abstractNumId w:val="24"/>
  </w:num>
  <w:num w:numId="23">
    <w:abstractNumId w:val="26"/>
  </w:num>
  <w:num w:numId="24">
    <w:abstractNumId w:val="16"/>
  </w:num>
  <w:num w:numId="25">
    <w:abstractNumId w:val="7"/>
  </w:num>
  <w:num w:numId="26">
    <w:abstractNumId w:val="4"/>
  </w:num>
  <w:num w:numId="27">
    <w:abstractNumId w:val="19"/>
  </w:num>
  <w:num w:numId="2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F90"/>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16C2"/>
    <w:rsid w:val="000542D4"/>
    <w:rsid w:val="000549F0"/>
    <w:rsid w:val="000559CF"/>
    <w:rsid w:val="00056F95"/>
    <w:rsid w:val="0005715C"/>
    <w:rsid w:val="00057F3D"/>
    <w:rsid w:val="000607A8"/>
    <w:rsid w:val="00060F24"/>
    <w:rsid w:val="00062F11"/>
    <w:rsid w:val="000631E9"/>
    <w:rsid w:val="00063321"/>
    <w:rsid w:val="00063EF2"/>
    <w:rsid w:val="0006502B"/>
    <w:rsid w:val="000654DD"/>
    <w:rsid w:val="00065A7F"/>
    <w:rsid w:val="000663B7"/>
    <w:rsid w:val="00067928"/>
    <w:rsid w:val="000708BD"/>
    <w:rsid w:val="00071CC8"/>
    <w:rsid w:val="00071FAE"/>
    <w:rsid w:val="00073048"/>
    <w:rsid w:val="0007338E"/>
    <w:rsid w:val="00073BD4"/>
    <w:rsid w:val="00074480"/>
    <w:rsid w:val="0007536B"/>
    <w:rsid w:val="00075D9C"/>
    <w:rsid w:val="00080DB1"/>
    <w:rsid w:val="00081F07"/>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307"/>
    <w:rsid w:val="000D36DC"/>
    <w:rsid w:val="000D3C9D"/>
    <w:rsid w:val="000D40A1"/>
    <w:rsid w:val="000D595D"/>
    <w:rsid w:val="000D59E4"/>
    <w:rsid w:val="000D5EAF"/>
    <w:rsid w:val="000D70EA"/>
    <w:rsid w:val="000E0A21"/>
    <w:rsid w:val="000E44F6"/>
    <w:rsid w:val="000E4D8D"/>
    <w:rsid w:val="000E57C6"/>
    <w:rsid w:val="000E6293"/>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F2D"/>
    <w:rsid w:val="001300B5"/>
    <w:rsid w:val="00131081"/>
    <w:rsid w:val="00131D3C"/>
    <w:rsid w:val="0013518E"/>
    <w:rsid w:val="00136292"/>
    <w:rsid w:val="001378CD"/>
    <w:rsid w:val="00137A15"/>
    <w:rsid w:val="0014061E"/>
    <w:rsid w:val="0014072B"/>
    <w:rsid w:val="00140AC7"/>
    <w:rsid w:val="00140F03"/>
    <w:rsid w:val="001412C9"/>
    <w:rsid w:val="00141776"/>
    <w:rsid w:val="001426C5"/>
    <w:rsid w:val="00142A26"/>
    <w:rsid w:val="0014582F"/>
    <w:rsid w:val="0014629D"/>
    <w:rsid w:val="00147EAA"/>
    <w:rsid w:val="001512CD"/>
    <w:rsid w:val="00151A7D"/>
    <w:rsid w:val="001520C4"/>
    <w:rsid w:val="001520C5"/>
    <w:rsid w:val="00152663"/>
    <w:rsid w:val="00152E53"/>
    <w:rsid w:val="001538DF"/>
    <w:rsid w:val="00156945"/>
    <w:rsid w:val="00156FE0"/>
    <w:rsid w:val="00157617"/>
    <w:rsid w:val="00161001"/>
    <w:rsid w:val="001616A1"/>
    <w:rsid w:val="00161B39"/>
    <w:rsid w:val="001624D1"/>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5FF"/>
    <w:rsid w:val="001B07DF"/>
    <w:rsid w:val="001B0D21"/>
    <w:rsid w:val="001B193C"/>
    <w:rsid w:val="001B1EDD"/>
    <w:rsid w:val="001B2070"/>
    <w:rsid w:val="001B2836"/>
    <w:rsid w:val="001B2CFE"/>
    <w:rsid w:val="001B3759"/>
    <w:rsid w:val="001B3D20"/>
    <w:rsid w:val="001B4DFC"/>
    <w:rsid w:val="001B51F0"/>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7E63"/>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6C22"/>
    <w:rsid w:val="00200C7B"/>
    <w:rsid w:val="00201759"/>
    <w:rsid w:val="002021FC"/>
    <w:rsid w:val="002043CF"/>
    <w:rsid w:val="00205037"/>
    <w:rsid w:val="0020785E"/>
    <w:rsid w:val="00207F20"/>
    <w:rsid w:val="002102F5"/>
    <w:rsid w:val="002104A0"/>
    <w:rsid w:val="00210FC9"/>
    <w:rsid w:val="002113F8"/>
    <w:rsid w:val="00211565"/>
    <w:rsid w:val="0021166F"/>
    <w:rsid w:val="002122C3"/>
    <w:rsid w:val="00212A86"/>
    <w:rsid w:val="0021395C"/>
    <w:rsid w:val="002149CC"/>
    <w:rsid w:val="00214A95"/>
    <w:rsid w:val="00214E4E"/>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5382"/>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7796F"/>
    <w:rsid w:val="0028020F"/>
    <w:rsid w:val="002804F9"/>
    <w:rsid w:val="00280862"/>
    <w:rsid w:val="00281104"/>
    <w:rsid w:val="00281F13"/>
    <w:rsid w:val="00281FE1"/>
    <w:rsid w:val="00282E1C"/>
    <w:rsid w:val="00285692"/>
    <w:rsid w:val="00285E0B"/>
    <w:rsid w:val="00286417"/>
    <w:rsid w:val="0028786F"/>
    <w:rsid w:val="00287A12"/>
    <w:rsid w:val="00287B41"/>
    <w:rsid w:val="002902D9"/>
    <w:rsid w:val="002934C0"/>
    <w:rsid w:val="002943A4"/>
    <w:rsid w:val="00294B58"/>
    <w:rsid w:val="002959FB"/>
    <w:rsid w:val="00295E71"/>
    <w:rsid w:val="00295FEC"/>
    <w:rsid w:val="0029673F"/>
    <w:rsid w:val="00297693"/>
    <w:rsid w:val="002A05F3"/>
    <w:rsid w:val="002A062F"/>
    <w:rsid w:val="002A2F3C"/>
    <w:rsid w:val="002A3C41"/>
    <w:rsid w:val="002A6F90"/>
    <w:rsid w:val="002A7929"/>
    <w:rsid w:val="002B130F"/>
    <w:rsid w:val="002B18F3"/>
    <w:rsid w:val="002B1D85"/>
    <w:rsid w:val="002B211D"/>
    <w:rsid w:val="002B21E7"/>
    <w:rsid w:val="002B2ABA"/>
    <w:rsid w:val="002B38AB"/>
    <w:rsid w:val="002B46CE"/>
    <w:rsid w:val="002B46FF"/>
    <w:rsid w:val="002B5C1D"/>
    <w:rsid w:val="002B5DAE"/>
    <w:rsid w:val="002B6238"/>
    <w:rsid w:val="002C05B8"/>
    <w:rsid w:val="002C06A7"/>
    <w:rsid w:val="002C071F"/>
    <w:rsid w:val="002C0D31"/>
    <w:rsid w:val="002C12F3"/>
    <w:rsid w:val="002C17E8"/>
    <w:rsid w:val="002C2E2C"/>
    <w:rsid w:val="002C3289"/>
    <w:rsid w:val="002C3B3A"/>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2273"/>
    <w:rsid w:val="002E4026"/>
    <w:rsid w:val="002E4AA9"/>
    <w:rsid w:val="002E4E29"/>
    <w:rsid w:val="002E54CA"/>
    <w:rsid w:val="002E6D0D"/>
    <w:rsid w:val="002E6FB7"/>
    <w:rsid w:val="002E7D6C"/>
    <w:rsid w:val="002F0809"/>
    <w:rsid w:val="002F0C12"/>
    <w:rsid w:val="002F1698"/>
    <w:rsid w:val="002F2031"/>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29C"/>
    <w:rsid w:val="00317BA6"/>
    <w:rsid w:val="00320F27"/>
    <w:rsid w:val="0032155D"/>
    <w:rsid w:val="00322DBA"/>
    <w:rsid w:val="00322E01"/>
    <w:rsid w:val="00324659"/>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523"/>
    <w:rsid w:val="00350918"/>
    <w:rsid w:val="0035195F"/>
    <w:rsid w:val="00352847"/>
    <w:rsid w:val="00352CA6"/>
    <w:rsid w:val="00353003"/>
    <w:rsid w:val="00353190"/>
    <w:rsid w:val="00353E52"/>
    <w:rsid w:val="00354263"/>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A59"/>
    <w:rsid w:val="00383F2D"/>
    <w:rsid w:val="00384D8F"/>
    <w:rsid w:val="00385ED7"/>
    <w:rsid w:val="003869DD"/>
    <w:rsid w:val="0038795A"/>
    <w:rsid w:val="00391008"/>
    <w:rsid w:val="00391898"/>
    <w:rsid w:val="00391B9A"/>
    <w:rsid w:val="00391D2B"/>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3F7B"/>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49D"/>
    <w:rsid w:val="003D45D5"/>
    <w:rsid w:val="003D50B1"/>
    <w:rsid w:val="003D5774"/>
    <w:rsid w:val="003D5A94"/>
    <w:rsid w:val="003D5E36"/>
    <w:rsid w:val="003D6607"/>
    <w:rsid w:val="003D6A51"/>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42D"/>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3"/>
    <w:rsid w:val="0041176D"/>
    <w:rsid w:val="00412209"/>
    <w:rsid w:val="00412C1D"/>
    <w:rsid w:val="0041308C"/>
    <w:rsid w:val="00413AFE"/>
    <w:rsid w:val="00413F2E"/>
    <w:rsid w:val="00414B6F"/>
    <w:rsid w:val="004150A9"/>
    <w:rsid w:val="00415A21"/>
    <w:rsid w:val="00415F00"/>
    <w:rsid w:val="004160FB"/>
    <w:rsid w:val="00416931"/>
    <w:rsid w:val="00416A0A"/>
    <w:rsid w:val="00416C0A"/>
    <w:rsid w:val="00417940"/>
    <w:rsid w:val="00422FC5"/>
    <w:rsid w:val="00423BDB"/>
    <w:rsid w:val="00423F1D"/>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C00"/>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068A"/>
    <w:rsid w:val="00481CD8"/>
    <w:rsid w:val="004821D9"/>
    <w:rsid w:val="0048268B"/>
    <w:rsid w:val="00482DD7"/>
    <w:rsid w:val="00482F42"/>
    <w:rsid w:val="00483322"/>
    <w:rsid w:val="00483E3C"/>
    <w:rsid w:val="00485470"/>
    <w:rsid w:val="004862C2"/>
    <w:rsid w:val="0048675E"/>
    <w:rsid w:val="00491877"/>
    <w:rsid w:val="004935EA"/>
    <w:rsid w:val="00494686"/>
    <w:rsid w:val="0049476B"/>
    <w:rsid w:val="00497F75"/>
    <w:rsid w:val="004A11B0"/>
    <w:rsid w:val="004A1D6F"/>
    <w:rsid w:val="004A28DB"/>
    <w:rsid w:val="004A36EC"/>
    <w:rsid w:val="004A4199"/>
    <w:rsid w:val="004A4BB5"/>
    <w:rsid w:val="004A57A6"/>
    <w:rsid w:val="004A5BEF"/>
    <w:rsid w:val="004A65D1"/>
    <w:rsid w:val="004B08B3"/>
    <w:rsid w:val="004B28C5"/>
    <w:rsid w:val="004B28FE"/>
    <w:rsid w:val="004B3349"/>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BFA"/>
    <w:rsid w:val="004D1D31"/>
    <w:rsid w:val="004D1D8B"/>
    <w:rsid w:val="004D63EC"/>
    <w:rsid w:val="004D64F8"/>
    <w:rsid w:val="004D6700"/>
    <w:rsid w:val="004E1409"/>
    <w:rsid w:val="004E144D"/>
    <w:rsid w:val="004E21C2"/>
    <w:rsid w:val="004E3218"/>
    <w:rsid w:val="004E37E1"/>
    <w:rsid w:val="004E39E7"/>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17"/>
    <w:rsid w:val="00514D5C"/>
    <w:rsid w:val="005150BE"/>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1E71"/>
    <w:rsid w:val="005726D6"/>
    <w:rsid w:val="00572A2D"/>
    <w:rsid w:val="005735DC"/>
    <w:rsid w:val="00573C90"/>
    <w:rsid w:val="005746B5"/>
    <w:rsid w:val="00574A05"/>
    <w:rsid w:val="0057683F"/>
    <w:rsid w:val="00576F70"/>
    <w:rsid w:val="00577AA5"/>
    <w:rsid w:val="00577C3B"/>
    <w:rsid w:val="00581C35"/>
    <w:rsid w:val="00582750"/>
    <w:rsid w:val="005827C3"/>
    <w:rsid w:val="00582896"/>
    <w:rsid w:val="00582D40"/>
    <w:rsid w:val="00582EAC"/>
    <w:rsid w:val="00583173"/>
    <w:rsid w:val="00585FEA"/>
    <w:rsid w:val="005860AC"/>
    <w:rsid w:val="0058659A"/>
    <w:rsid w:val="005911A5"/>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A7904"/>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389"/>
    <w:rsid w:val="00612490"/>
    <w:rsid w:val="00612D1B"/>
    <w:rsid w:val="00613159"/>
    <w:rsid w:val="00613CCC"/>
    <w:rsid w:val="006144B9"/>
    <w:rsid w:val="00614833"/>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57F"/>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395C"/>
    <w:rsid w:val="006542BF"/>
    <w:rsid w:val="006601C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1BF"/>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50D"/>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0AFF"/>
    <w:rsid w:val="006F2B6F"/>
    <w:rsid w:val="006F2BEF"/>
    <w:rsid w:val="006F2E66"/>
    <w:rsid w:val="006F383F"/>
    <w:rsid w:val="006F416F"/>
    <w:rsid w:val="006F4480"/>
    <w:rsid w:val="006F4B97"/>
    <w:rsid w:val="006F4C4E"/>
    <w:rsid w:val="006F4C5E"/>
    <w:rsid w:val="006F4D8E"/>
    <w:rsid w:val="006F5DD0"/>
    <w:rsid w:val="006F66BD"/>
    <w:rsid w:val="006F7205"/>
    <w:rsid w:val="007009DC"/>
    <w:rsid w:val="00704663"/>
    <w:rsid w:val="00705F89"/>
    <w:rsid w:val="00706881"/>
    <w:rsid w:val="007077AE"/>
    <w:rsid w:val="00707D72"/>
    <w:rsid w:val="007103D3"/>
    <w:rsid w:val="00711F58"/>
    <w:rsid w:val="00712A2B"/>
    <w:rsid w:val="00713FD9"/>
    <w:rsid w:val="00714EF6"/>
    <w:rsid w:val="007150DA"/>
    <w:rsid w:val="007150F0"/>
    <w:rsid w:val="0071544D"/>
    <w:rsid w:val="00716A2C"/>
    <w:rsid w:val="0071797A"/>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AB8"/>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3E19"/>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74C"/>
    <w:rsid w:val="007A7FC0"/>
    <w:rsid w:val="007B085A"/>
    <w:rsid w:val="007B1D42"/>
    <w:rsid w:val="007B1F16"/>
    <w:rsid w:val="007B2021"/>
    <w:rsid w:val="007B2ECC"/>
    <w:rsid w:val="007B3378"/>
    <w:rsid w:val="007B5FD9"/>
    <w:rsid w:val="007B6332"/>
    <w:rsid w:val="007B63AA"/>
    <w:rsid w:val="007B6816"/>
    <w:rsid w:val="007B7ED9"/>
    <w:rsid w:val="007C1086"/>
    <w:rsid w:val="007C128B"/>
    <w:rsid w:val="007C2972"/>
    <w:rsid w:val="007C3DDB"/>
    <w:rsid w:val="007C4A64"/>
    <w:rsid w:val="007C5E11"/>
    <w:rsid w:val="007C62AE"/>
    <w:rsid w:val="007C71BB"/>
    <w:rsid w:val="007C75CA"/>
    <w:rsid w:val="007D1079"/>
    <w:rsid w:val="007D13D5"/>
    <w:rsid w:val="007D154A"/>
    <w:rsid w:val="007D3431"/>
    <w:rsid w:val="007D4832"/>
    <w:rsid w:val="007D4A0E"/>
    <w:rsid w:val="007D572B"/>
    <w:rsid w:val="007D6C3F"/>
    <w:rsid w:val="007D7F02"/>
    <w:rsid w:val="007E00BC"/>
    <w:rsid w:val="007E177C"/>
    <w:rsid w:val="007E1E13"/>
    <w:rsid w:val="007E25E7"/>
    <w:rsid w:val="007E49AA"/>
    <w:rsid w:val="007E4BF3"/>
    <w:rsid w:val="007E5287"/>
    <w:rsid w:val="007E605A"/>
    <w:rsid w:val="007E69CC"/>
    <w:rsid w:val="007E6FB0"/>
    <w:rsid w:val="007F0D82"/>
    <w:rsid w:val="007F0DCB"/>
    <w:rsid w:val="007F1E68"/>
    <w:rsid w:val="007F20F1"/>
    <w:rsid w:val="007F2AC2"/>
    <w:rsid w:val="007F373F"/>
    <w:rsid w:val="007F4E9D"/>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5F01"/>
    <w:rsid w:val="00807E74"/>
    <w:rsid w:val="008103FE"/>
    <w:rsid w:val="00811981"/>
    <w:rsid w:val="0081245E"/>
    <w:rsid w:val="00812CCD"/>
    <w:rsid w:val="00814809"/>
    <w:rsid w:val="00816537"/>
    <w:rsid w:val="00820D53"/>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177"/>
    <w:rsid w:val="0083744C"/>
    <w:rsid w:val="00842C2E"/>
    <w:rsid w:val="00843760"/>
    <w:rsid w:val="008449F4"/>
    <w:rsid w:val="00844B8F"/>
    <w:rsid w:val="0084515B"/>
    <w:rsid w:val="008512DA"/>
    <w:rsid w:val="00851E9D"/>
    <w:rsid w:val="00852CDD"/>
    <w:rsid w:val="0085303D"/>
    <w:rsid w:val="008537DD"/>
    <w:rsid w:val="00853AE3"/>
    <w:rsid w:val="00853EE4"/>
    <w:rsid w:val="00854794"/>
    <w:rsid w:val="00854869"/>
    <w:rsid w:val="008551E5"/>
    <w:rsid w:val="008552AA"/>
    <w:rsid w:val="008574EA"/>
    <w:rsid w:val="008575CB"/>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6693"/>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0FCB"/>
    <w:rsid w:val="008B15E3"/>
    <w:rsid w:val="008B162F"/>
    <w:rsid w:val="008B2EF7"/>
    <w:rsid w:val="008B483E"/>
    <w:rsid w:val="008B4C8B"/>
    <w:rsid w:val="008B5F00"/>
    <w:rsid w:val="008B60E9"/>
    <w:rsid w:val="008C188F"/>
    <w:rsid w:val="008C1FF7"/>
    <w:rsid w:val="008C32D5"/>
    <w:rsid w:val="008C362C"/>
    <w:rsid w:val="008C3743"/>
    <w:rsid w:val="008C3E2F"/>
    <w:rsid w:val="008C4329"/>
    <w:rsid w:val="008C4952"/>
    <w:rsid w:val="008C5289"/>
    <w:rsid w:val="008C5B59"/>
    <w:rsid w:val="008C7A5F"/>
    <w:rsid w:val="008C7F23"/>
    <w:rsid w:val="008D0486"/>
    <w:rsid w:val="008D05CE"/>
    <w:rsid w:val="008D092C"/>
    <w:rsid w:val="008D170E"/>
    <w:rsid w:val="008D1B17"/>
    <w:rsid w:val="008D1DB6"/>
    <w:rsid w:val="008D290A"/>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4B2E"/>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5CE7"/>
    <w:rsid w:val="00926B89"/>
    <w:rsid w:val="00927C1B"/>
    <w:rsid w:val="00930E05"/>
    <w:rsid w:val="009312F0"/>
    <w:rsid w:val="00933C28"/>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4AD3"/>
    <w:rsid w:val="00975CE0"/>
    <w:rsid w:val="009761CF"/>
    <w:rsid w:val="00976391"/>
    <w:rsid w:val="009772F8"/>
    <w:rsid w:val="009807B3"/>
    <w:rsid w:val="00980867"/>
    <w:rsid w:val="009814E8"/>
    <w:rsid w:val="00981BB9"/>
    <w:rsid w:val="009821D2"/>
    <w:rsid w:val="009822BD"/>
    <w:rsid w:val="0098348B"/>
    <w:rsid w:val="009835D9"/>
    <w:rsid w:val="00985306"/>
    <w:rsid w:val="0098614D"/>
    <w:rsid w:val="0098652B"/>
    <w:rsid w:val="00986C0C"/>
    <w:rsid w:val="00986CFF"/>
    <w:rsid w:val="009901D5"/>
    <w:rsid w:val="00990BC7"/>
    <w:rsid w:val="00991147"/>
    <w:rsid w:val="00992703"/>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C7645"/>
    <w:rsid w:val="009D01C2"/>
    <w:rsid w:val="009D123E"/>
    <w:rsid w:val="009D150B"/>
    <w:rsid w:val="009D192B"/>
    <w:rsid w:val="009D193B"/>
    <w:rsid w:val="009D239B"/>
    <w:rsid w:val="009D2E6B"/>
    <w:rsid w:val="009D347D"/>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7DB"/>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3DF2"/>
    <w:rsid w:val="00A23F5A"/>
    <w:rsid w:val="00A24A69"/>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83D"/>
    <w:rsid w:val="00A46B5B"/>
    <w:rsid w:val="00A473E4"/>
    <w:rsid w:val="00A47CC6"/>
    <w:rsid w:val="00A47F95"/>
    <w:rsid w:val="00A50363"/>
    <w:rsid w:val="00A50B7B"/>
    <w:rsid w:val="00A50C5F"/>
    <w:rsid w:val="00A51563"/>
    <w:rsid w:val="00A53003"/>
    <w:rsid w:val="00A5345E"/>
    <w:rsid w:val="00A54949"/>
    <w:rsid w:val="00A551DD"/>
    <w:rsid w:val="00A55E0A"/>
    <w:rsid w:val="00A56322"/>
    <w:rsid w:val="00A5645D"/>
    <w:rsid w:val="00A56BCD"/>
    <w:rsid w:val="00A60363"/>
    <w:rsid w:val="00A606FC"/>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AEB"/>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813"/>
    <w:rsid w:val="00AB1E11"/>
    <w:rsid w:val="00AB3BD1"/>
    <w:rsid w:val="00AB443B"/>
    <w:rsid w:val="00AB4744"/>
    <w:rsid w:val="00AB4AFA"/>
    <w:rsid w:val="00AB51CF"/>
    <w:rsid w:val="00AB59A9"/>
    <w:rsid w:val="00AB5DB5"/>
    <w:rsid w:val="00AB7314"/>
    <w:rsid w:val="00AB7E31"/>
    <w:rsid w:val="00AC0322"/>
    <w:rsid w:val="00AC17AF"/>
    <w:rsid w:val="00AC1F7B"/>
    <w:rsid w:val="00AC1F9F"/>
    <w:rsid w:val="00AC2D32"/>
    <w:rsid w:val="00AC3944"/>
    <w:rsid w:val="00AC3D02"/>
    <w:rsid w:val="00AC450A"/>
    <w:rsid w:val="00AC4A6A"/>
    <w:rsid w:val="00AC4CDB"/>
    <w:rsid w:val="00AC4EB8"/>
    <w:rsid w:val="00AC5656"/>
    <w:rsid w:val="00AC7FB4"/>
    <w:rsid w:val="00AD0290"/>
    <w:rsid w:val="00AD0794"/>
    <w:rsid w:val="00AD0A22"/>
    <w:rsid w:val="00AD0AA1"/>
    <w:rsid w:val="00AD1948"/>
    <w:rsid w:val="00AD442F"/>
    <w:rsid w:val="00AD4820"/>
    <w:rsid w:val="00AD67C7"/>
    <w:rsid w:val="00AE1CA8"/>
    <w:rsid w:val="00AE2732"/>
    <w:rsid w:val="00AE2831"/>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D22"/>
    <w:rsid w:val="00B06F3E"/>
    <w:rsid w:val="00B079F5"/>
    <w:rsid w:val="00B10464"/>
    <w:rsid w:val="00B11EFB"/>
    <w:rsid w:val="00B15CB4"/>
    <w:rsid w:val="00B15D04"/>
    <w:rsid w:val="00B1622F"/>
    <w:rsid w:val="00B164C6"/>
    <w:rsid w:val="00B17779"/>
    <w:rsid w:val="00B20E9E"/>
    <w:rsid w:val="00B20EC7"/>
    <w:rsid w:val="00B21492"/>
    <w:rsid w:val="00B22ED3"/>
    <w:rsid w:val="00B24F30"/>
    <w:rsid w:val="00B25925"/>
    <w:rsid w:val="00B25D0E"/>
    <w:rsid w:val="00B25EB4"/>
    <w:rsid w:val="00B26143"/>
    <w:rsid w:val="00B264FD"/>
    <w:rsid w:val="00B26B65"/>
    <w:rsid w:val="00B272D5"/>
    <w:rsid w:val="00B272E2"/>
    <w:rsid w:val="00B27499"/>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36B"/>
    <w:rsid w:val="00B464DA"/>
    <w:rsid w:val="00B4657F"/>
    <w:rsid w:val="00B4739E"/>
    <w:rsid w:val="00B47691"/>
    <w:rsid w:val="00B4781C"/>
    <w:rsid w:val="00B50562"/>
    <w:rsid w:val="00B5096F"/>
    <w:rsid w:val="00B5192B"/>
    <w:rsid w:val="00B51FF2"/>
    <w:rsid w:val="00B526DF"/>
    <w:rsid w:val="00B52A83"/>
    <w:rsid w:val="00B5315C"/>
    <w:rsid w:val="00B54F53"/>
    <w:rsid w:val="00B558B3"/>
    <w:rsid w:val="00B55BE9"/>
    <w:rsid w:val="00B560D2"/>
    <w:rsid w:val="00B5769D"/>
    <w:rsid w:val="00B57B4F"/>
    <w:rsid w:val="00B61BA6"/>
    <w:rsid w:val="00B6361C"/>
    <w:rsid w:val="00B64595"/>
    <w:rsid w:val="00B66BA1"/>
    <w:rsid w:val="00B702BB"/>
    <w:rsid w:val="00B71E39"/>
    <w:rsid w:val="00B72327"/>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65D"/>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788"/>
    <w:rsid w:val="00BB69FE"/>
    <w:rsid w:val="00BC19AC"/>
    <w:rsid w:val="00BC23D0"/>
    <w:rsid w:val="00BC2519"/>
    <w:rsid w:val="00BC3455"/>
    <w:rsid w:val="00BC34D0"/>
    <w:rsid w:val="00BC55E0"/>
    <w:rsid w:val="00BC59A3"/>
    <w:rsid w:val="00BC5A92"/>
    <w:rsid w:val="00BD0133"/>
    <w:rsid w:val="00BD0F71"/>
    <w:rsid w:val="00BD1573"/>
    <w:rsid w:val="00BD2553"/>
    <w:rsid w:val="00BD265B"/>
    <w:rsid w:val="00BD2EAF"/>
    <w:rsid w:val="00BD3756"/>
    <w:rsid w:val="00BD472D"/>
    <w:rsid w:val="00BD4ED1"/>
    <w:rsid w:val="00BD5BCA"/>
    <w:rsid w:val="00BE1A5A"/>
    <w:rsid w:val="00BE231E"/>
    <w:rsid w:val="00BE256F"/>
    <w:rsid w:val="00BE2828"/>
    <w:rsid w:val="00BE2B0A"/>
    <w:rsid w:val="00BE3468"/>
    <w:rsid w:val="00BE3F6B"/>
    <w:rsid w:val="00BE42F2"/>
    <w:rsid w:val="00BE4CA0"/>
    <w:rsid w:val="00BE7103"/>
    <w:rsid w:val="00BE7F17"/>
    <w:rsid w:val="00BE7FD8"/>
    <w:rsid w:val="00BF0D2F"/>
    <w:rsid w:val="00BF126A"/>
    <w:rsid w:val="00BF1E2A"/>
    <w:rsid w:val="00BF2243"/>
    <w:rsid w:val="00BF3B6F"/>
    <w:rsid w:val="00BF3DFC"/>
    <w:rsid w:val="00BF3F55"/>
    <w:rsid w:val="00BF4F9E"/>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4C29"/>
    <w:rsid w:val="00C0676D"/>
    <w:rsid w:val="00C06875"/>
    <w:rsid w:val="00C0778D"/>
    <w:rsid w:val="00C10329"/>
    <w:rsid w:val="00C107BF"/>
    <w:rsid w:val="00C1170A"/>
    <w:rsid w:val="00C11830"/>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0649"/>
    <w:rsid w:val="00C61B3A"/>
    <w:rsid w:val="00C634D4"/>
    <w:rsid w:val="00C64546"/>
    <w:rsid w:val="00C648AC"/>
    <w:rsid w:val="00C65131"/>
    <w:rsid w:val="00C6579C"/>
    <w:rsid w:val="00C66615"/>
    <w:rsid w:val="00C66B9D"/>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0767"/>
    <w:rsid w:val="00C910E9"/>
    <w:rsid w:val="00C91917"/>
    <w:rsid w:val="00C930ED"/>
    <w:rsid w:val="00C93857"/>
    <w:rsid w:val="00C93C88"/>
    <w:rsid w:val="00C948FD"/>
    <w:rsid w:val="00C9791E"/>
    <w:rsid w:val="00CA0156"/>
    <w:rsid w:val="00CA0B4B"/>
    <w:rsid w:val="00CA1995"/>
    <w:rsid w:val="00CA4B83"/>
    <w:rsid w:val="00CA531A"/>
    <w:rsid w:val="00CA5B19"/>
    <w:rsid w:val="00CA6A05"/>
    <w:rsid w:val="00CA7003"/>
    <w:rsid w:val="00CA7316"/>
    <w:rsid w:val="00CB061B"/>
    <w:rsid w:val="00CB0BCD"/>
    <w:rsid w:val="00CB285D"/>
    <w:rsid w:val="00CB3F50"/>
    <w:rsid w:val="00CB529A"/>
    <w:rsid w:val="00CB56F9"/>
    <w:rsid w:val="00CB61BF"/>
    <w:rsid w:val="00CC14A5"/>
    <w:rsid w:val="00CC2320"/>
    <w:rsid w:val="00CC2796"/>
    <w:rsid w:val="00CC27B8"/>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3F1"/>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F19"/>
    <w:rsid w:val="00D035A6"/>
    <w:rsid w:val="00D03978"/>
    <w:rsid w:val="00D0487D"/>
    <w:rsid w:val="00D048B6"/>
    <w:rsid w:val="00D05287"/>
    <w:rsid w:val="00D056A0"/>
    <w:rsid w:val="00D07514"/>
    <w:rsid w:val="00D12C49"/>
    <w:rsid w:val="00D1331A"/>
    <w:rsid w:val="00D1334E"/>
    <w:rsid w:val="00D133A7"/>
    <w:rsid w:val="00D1382A"/>
    <w:rsid w:val="00D144DF"/>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1193"/>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0BB8"/>
    <w:rsid w:val="00D710EE"/>
    <w:rsid w:val="00D7132C"/>
    <w:rsid w:val="00D71368"/>
    <w:rsid w:val="00D72284"/>
    <w:rsid w:val="00D732DF"/>
    <w:rsid w:val="00D733BE"/>
    <w:rsid w:val="00D738BB"/>
    <w:rsid w:val="00D765CA"/>
    <w:rsid w:val="00D76630"/>
    <w:rsid w:val="00D80624"/>
    <w:rsid w:val="00D80AF2"/>
    <w:rsid w:val="00D8157B"/>
    <w:rsid w:val="00D82F56"/>
    <w:rsid w:val="00D83241"/>
    <w:rsid w:val="00D841E6"/>
    <w:rsid w:val="00D84DCF"/>
    <w:rsid w:val="00D878CA"/>
    <w:rsid w:val="00D9022E"/>
    <w:rsid w:val="00D902CA"/>
    <w:rsid w:val="00D90D22"/>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282"/>
    <w:rsid w:val="00DB284E"/>
    <w:rsid w:val="00DB322D"/>
    <w:rsid w:val="00DB38B6"/>
    <w:rsid w:val="00DB42ED"/>
    <w:rsid w:val="00DB4D35"/>
    <w:rsid w:val="00DB5B57"/>
    <w:rsid w:val="00DB6FED"/>
    <w:rsid w:val="00DB7F1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1AC7"/>
    <w:rsid w:val="00DE2B7E"/>
    <w:rsid w:val="00DE325F"/>
    <w:rsid w:val="00DE4468"/>
    <w:rsid w:val="00DE4D23"/>
    <w:rsid w:val="00DE4FE3"/>
    <w:rsid w:val="00DE55A3"/>
    <w:rsid w:val="00DE7993"/>
    <w:rsid w:val="00DF1A53"/>
    <w:rsid w:val="00DF2E05"/>
    <w:rsid w:val="00DF54A8"/>
    <w:rsid w:val="00DF65BD"/>
    <w:rsid w:val="00DF6E9D"/>
    <w:rsid w:val="00DF7AE0"/>
    <w:rsid w:val="00DF7ED1"/>
    <w:rsid w:val="00E01BFB"/>
    <w:rsid w:val="00E01E30"/>
    <w:rsid w:val="00E04CEE"/>
    <w:rsid w:val="00E04DF6"/>
    <w:rsid w:val="00E05D7F"/>
    <w:rsid w:val="00E06CF7"/>
    <w:rsid w:val="00E0753B"/>
    <w:rsid w:val="00E077BD"/>
    <w:rsid w:val="00E0784B"/>
    <w:rsid w:val="00E07AAF"/>
    <w:rsid w:val="00E07F98"/>
    <w:rsid w:val="00E101A3"/>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7F4"/>
    <w:rsid w:val="00E26B50"/>
    <w:rsid w:val="00E26D39"/>
    <w:rsid w:val="00E2783F"/>
    <w:rsid w:val="00E27CBF"/>
    <w:rsid w:val="00E27D0C"/>
    <w:rsid w:val="00E311F4"/>
    <w:rsid w:val="00E32803"/>
    <w:rsid w:val="00E332E9"/>
    <w:rsid w:val="00E344CB"/>
    <w:rsid w:val="00E34DD8"/>
    <w:rsid w:val="00E3608C"/>
    <w:rsid w:val="00E3680A"/>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4C"/>
    <w:rsid w:val="00E60682"/>
    <w:rsid w:val="00E60C60"/>
    <w:rsid w:val="00E61234"/>
    <w:rsid w:val="00E615B4"/>
    <w:rsid w:val="00E6240A"/>
    <w:rsid w:val="00E62A63"/>
    <w:rsid w:val="00E63645"/>
    <w:rsid w:val="00E63679"/>
    <w:rsid w:val="00E636FF"/>
    <w:rsid w:val="00E65B67"/>
    <w:rsid w:val="00E6696D"/>
    <w:rsid w:val="00E67CCB"/>
    <w:rsid w:val="00E713AD"/>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053B"/>
    <w:rsid w:val="00E91093"/>
    <w:rsid w:val="00E91498"/>
    <w:rsid w:val="00E91691"/>
    <w:rsid w:val="00E92C8C"/>
    <w:rsid w:val="00E94931"/>
    <w:rsid w:val="00E958DD"/>
    <w:rsid w:val="00E95A08"/>
    <w:rsid w:val="00E95BA9"/>
    <w:rsid w:val="00E9637F"/>
    <w:rsid w:val="00EA0602"/>
    <w:rsid w:val="00EA0C70"/>
    <w:rsid w:val="00EA17E6"/>
    <w:rsid w:val="00EA1D56"/>
    <w:rsid w:val="00EA2643"/>
    <w:rsid w:val="00EA28B3"/>
    <w:rsid w:val="00EA3201"/>
    <w:rsid w:val="00EA34FE"/>
    <w:rsid w:val="00EA3F7C"/>
    <w:rsid w:val="00EA4289"/>
    <w:rsid w:val="00EA4F84"/>
    <w:rsid w:val="00EA5A46"/>
    <w:rsid w:val="00EA5B04"/>
    <w:rsid w:val="00EA5C3E"/>
    <w:rsid w:val="00EB0711"/>
    <w:rsid w:val="00EB09DB"/>
    <w:rsid w:val="00EB164E"/>
    <w:rsid w:val="00EB25FE"/>
    <w:rsid w:val="00EB33D4"/>
    <w:rsid w:val="00EB3A64"/>
    <w:rsid w:val="00EB63C5"/>
    <w:rsid w:val="00EB7363"/>
    <w:rsid w:val="00EC1440"/>
    <w:rsid w:val="00EC1D40"/>
    <w:rsid w:val="00EC22E1"/>
    <w:rsid w:val="00EC2FDE"/>
    <w:rsid w:val="00EC36C0"/>
    <w:rsid w:val="00EC442F"/>
    <w:rsid w:val="00EC4457"/>
    <w:rsid w:val="00EC4515"/>
    <w:rsid w:val="00EC4939"/>
    <w:rsid w:val="00EC53AC"/>
    <w:rsid w:val="00EC5DD1"/>
    <w:rsid w:val="00EC6EB1"/>
    <w:rsid w:val="00EC78F4"/>
    <w:rsid w:val="00ED0096"/>
    <w:rsid w:val="00ED129B"/>
    <w:rsid w:val="00ED23D8"/>
    <w:rsid w:val="00ED243D"/>
    <w:rsid w:val="00ED2DEC"/>
    <w:rsid w:val="00ED4E38"/>
    <w:rsid w:val="00ED5DA1"/>
    <w:rsid w:val="00EE1219"/>
    <w:rsid w:val="00EE26ED"/>
    <w:rsid w:val="00EE2FD9"/>
    <w:rsid w:val="00EE30F3"/>
    <w:rsid w:val="00EE3159"/>
    <w:rsid w:val="00EE42CC"/>
    <w:rsid w:val="00EE4662"/>
    <w:rsid w:val="00EE66DA"/>
    <w:rsid w:val="00EE6717"/>
    <w:rsid w:val="00EE6A2D"/>
    <w:rsid w:val="00EE78EC"/>
    <w:rsid w:val="00EF097E"/>
    <w:rsid w:val="00EF0CB6"/>
    <w:rsid w:val="00EF15C1"/>
    <w:rsid w:val="00EF19F9"/>
    <w:rsid w:val="00EF1F0D"/>
    <w:rsid w:val="00EF20F7"/>
    <w:rsid w:val="00EF2A87"/>
    <w:rsid w:val="00EF38FC"/>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0E0"/>
    <w:rsid w:val="00F117CA"/>
    <w:rsid w:val="00F12167"/>
    <w:rsid w:val="00F1491A"/>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073"/>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7E2"/>
    <w:rsid w:val="00F67C3F"/>
    <w:rsid w:val="00F72B8D"/>
    <w:rsid w:val="00F73F19"/>
    <w:rsid w:val="00F75A6C"/>
    <w:rsid w:val="00F766E6"/>
    <w:rsid w:val="00F77118"/>
    <w:rsid w:val="00F80E63"/>
    <w:rsid w:val="00F8116D"/>
    <w:rsid w:val="00F81180"/>
    <w:rsid w:val="00F8134D"/>
    <w:rsid w:val="00F82967"/>
    <w:rsid w:val="00F84102"/>
    <w:rsid w:val="00F85923"/>
    <w:rsid w:val="00F861C4"/>
    <w:rsid w:val="00F877DB"/>
    <w:rsid w:val="00F901CA"/>
    <w:rsid w:val="00F90AD9"/>
    <w:rsid w:val="00F934BB"/>
    <w:rsid w:val="00F93893"/>
    <w:rsid w:val="00F943CD"/>
    <w:rsid w:val="00F950EB"/>
    <w:rsid w:val="00F977B3"/>
    <w:rsid w:val="00F97C7B"/>
    <w:rsid w:val="00FA018C"/>
    <w:rsid w:val="00FA02D8"/>
    <w:rsid w:val="00FA08EA"/>
    <w:rsid w:val="00FA132B"/>
    <w:rsid w:val="00FA1412"/>
    <w:rsid w:val="00FA1BEF"/>
    <w:rsid w:val="00FA217D"/>
    <w:rsid w:val="00FA31FF"/>
    <w:rsid w:val="00FA3A42"/>
    <w:rsid w:val="00FA43EE"/>
    <w:rsid w:val="00FA73F2"/>
    <w:rsid w:val="00FB0E95"/>
    <w:rsid w:val="00FB1849"/>
    <w:rsid w:val="00FB20E7"/>
    <w:rsid w:val="00FB2293"/>
    <w:rsid w:val="00FB5464"/>
    <w:rsid w:val="00FB6C2B"/>
    <w:rsid w:val="00FB6D54"/>
    <w:rsid w:val="00FB7881"/>
    <w:rsid w:val="00FC1B87"/>
    <w:rsid w:val="00FC2C86"/>
    <w:rsid w:val="00FC34C6"/>
    <w:rsid w:val="00FC4F8A"/>
    <w:rsid w:val="00FC647A"/>
    <w:rsid w:val="00FC74CA"/>
    <w:rsid w:val="00FD0A8E"/>
    <w:rsid w:val="00FD0E25"/>
    <w:rsid w:val="00FD18E6"/>
    <w:rsid w:val="00FD1E9F"/>
    <w:rsid w:val="00FD2291"/>
    <w:rsid w:val="00FD298F"/>
    <w:rsid w:val="00FD33DD"/>
    <w:rsid w:val="00FE1447"/>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D86C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CRCoverPage">
    <w:name w:val="CR Cover Page"/>
    <w:rsid w:val="003D6A51"/>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940480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500675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6491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050321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15596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89499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357943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C1A7F15-14A6-41A4-9720-52EE7AE4C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1028</Words>
  <Characters>5861</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2023-01-09T09:20:00Z</dcterms:created>
  <dcterms:modified xsi:type="dcterms:W3CDTF">2023-01-09T09:20:00Z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(3)qio8Wn0ihFqskOkKK81MGz7JpcpwbjtyNLYzwfgPhocSbmjRzf/hnRml2q5vUg5wJT1LDeQz
oIrWRg7a+LLH0y0gGGLzKma0Kgz9T8AOaNtBy4fmICUeDBFjEs2Yao0KNBSwohpLs1Jboxk+
VpN414GGNOfiw2JBm8ogm3DMB58rpOxWomQVfmGEaoohEYBZFZpRZhpn8GzzvUtG+555+WNJ
TtQHegk6F30opy6tkO</vt:lpwstr>
  </property>
  <property fmtid="{D5CDD505-2E9C-101B-9397-08002B2CF9AE}" pid="9" name="_2015_ms_pID_7253431">
    <vt:lpwstr>BiAgq2zlR1gE32aAADVYRhZ4/nvg5KZ58cY/bkdCkvaAAo2g05kN7W
Jfn7mgOHQtALNcpwFxVnMOMD4D440iLOLGEKRGY7aCWAqotbLZoSkB9AvpRurBEiTlTJlhDD
VrovDjKPdn/I6j2X9y2OKLbzFhNrfYBXS/4N2jIjx60ldlUslGCM3sTRLU5Gi3olkZq1yBrh
PlmYZ796Rp+96Yg6NfY5kec2R2msPDwpAqCX</vt:lpwstr>
  </property>
  <property fmtid="{D5CDD505-2E9C-101B-9397-08002B2CF9AE}" pid="10" name="_2015_ms_pID_7253432">
    <vt:lpwstr>IQ==</vt:lpwstr>
  </property>
  <property fmtid="{D5CDD505-2E9C-101B-9397-08002B2CF9AE}" pid="11" name="GrammarlyDocumentId">
    <vt:lpwstr>8040639a4e490173b2c74498820993ede59704a47b557859233be921aa8a5ce4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1672740144</vt:lpwstr>
  </property>
</Properties>
</file>